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APPLICATION FOR DETERMINATION OF THE AMOUNT FROM THE EMPLOYER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K 3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[See rule 62(2)]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Application under sub section (2) of section 33C of the Industrial Disputes Act, 1947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Before the Central Government Labour Court at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Between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Name of the applicant(s).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Name of the employer.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petitioner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……………..……………..……………..……………..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 workman of /The petitioners undersigned, workmen of M/S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is/are entitled to receive from the said M/s.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.............the money/benefits mentioned in the statement hereto annexed.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It is prayed that the Court be pleased to determine the amount/amounts due to the petitioner(s).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Address(es)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Station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  <w:tab/>
        <w:tab/>
        <w:tab/>
        <w:tab/>
        <w:tab/>
        <w:tab/>
        <w:t xml:space="preserve">Signature or thumb impression(s) of the applicant(s)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  <w:tab/>
        <w:t xml:space="preserve">  </w:t>
        <w:tab/>
        <w:tab/>
        <w:tab/>
        <w:tab/>
        <w:tab/>
        <w:t xml:space="preserve">1.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2.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3.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4.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ANNEXURE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[Here set out details of the money due or the benefits accrued together with the case for their admissibility.]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