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NOTICE BY COMMISSIONER TO A PARTY TO SHOW CAUSE AGAINST REFUSAL TO REGISTER THE AGREEMENT BETWEEN EMPLOYER AND WORKMAN REGARDING COMPENSATION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Q</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50]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Whereas an agreement to pay compensation is said to have been reached between ........................and……………… and whereas……………… has/have applied for registration of the agreement under section 28 of the Workmen's Compensation Act, 1923, and whereas it appears to me that the said agreement ought not be registered for the following reasons, namely ...............................................   …………………......an opportunity will be afforded to the said of showing cause on……………… 20 why the said agreement should be registered. Any representation which you have to make with regard to the said agreement should be made on that date. If adequate cause is then shown, the agreement may be registered.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 xml:space="preserve">         </w:t>
        <w:tab/>
        <w:tab/>
        <w:tab/>
        <w:tab/>
        <w:tab/>
        <w:tab/>
        <w:tab/>
        <w:tab/>
        <w:tab/>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tab/>
        <w:tab/>
        <w:tab/>
        <w:tab/>
        <w:tab/>
        <w:tab/>
        <w:tab/>
        <w:tab/>
        <w:tab/>
        <w:tab/>
        <w:tab/>
        <w:tab/>
        <w:tab/>
        <w:tab/>
        <w:tab/>
        <w:tab/>
        <w:tab/>
        <w:tab/>
        <w:t xml:space="preserve">Commissioner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