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11 OF THE ARBITRATION AND CONCILIATION ACT, 1996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Arbitration and Conciliation Act, 1996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Arbitration Agreement dated..............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(Name, description and place of residence).................. Petitioner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(Name, description and place of residence)................ Respondent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AB above named most respectfully sheweth: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an agreement dated............... was entered between the petitioner and the respondent and it was agreed that in case any difference arising in respect of the contract entered, the dispute between the parties shall be referable to the arbitration.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 copy of the said arbitration agreement dated............ is annexed hereto and marked as Annexure................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despite the work having been completed within time the Respondent did not make the payment.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petitioner requested Respondent to appoint the arbitrator but the Respondent had not appointed any arbitrator and thus a dispute arose for the pay ment of 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an independent arbitrator may be appointed by the Chief Justice.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No.................... /200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Petitioner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Respondent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Under the 1996 Act appointment of arbitrator/s is made as per the provision of Section 11 of the Act which does not require the court to pass a judicial order appointing arbitrator/s.1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Under Section 11 of Arbitration and Conciliation Act either of parties to agreement can be vested with power to appoint arbitrator and Chief Justice is vested with powers of appointment of sole arbitrator only when parties fails to agree on the arbitrator as per agreement.2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petition for appointment of arbitrator filed in the year 1999, that is, after expiry of period of three years is barred by limitation.3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Contentions raised to oppose a petition seeking appointment of arbitrator that full and final payment had been made or that petition was beyond limitation can be raised before arbitrator as well and order appointing arbitrator could not be considered bad in law.4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M/s. Sundaram Finance Ltd. v. M/s. NEPC India Ltd., AIR 1999 SC 565.</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Ranjul Baruah v. Numaiigarh Refinery Ltd., 2002(1) CCC 211 (Gau.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M/s. Pandit Munshi Ram and Associates (Pvt. ) Ltd. v. Delhi Development Authority, AIR 2001 Delhi 82.</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720" w:firstLine="720"/>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Union of India v. Chandra Engineers, 2001(4) CCC 85 (Raj.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