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AGAINST AGENT DISREGARDING INSTRUCTIONS OF THE PRINCIPAL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 1. That the plaintiff appointed the defendant as the agent of the former, vide his letter dated..................... to purchase at..................... of District..................... .................... quintals of.................... of the best quality not exceeding Rs. .................... /- per quintal and despatch the same to the plaintiff.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neglected the instructions of the plaintiff and purchased the.............................................. of a very inferior quality at the rate of Rs..................... /- per quintal and despatched the same to the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could with the best of his efforts sell the.................... at.................... at the rate of Rs..................... per quintal Rs..................... /- per quintal were defrayed as expenses for fare from.................... to..................... and godown charges at.................... and thus the plaintiff could make no profit, whereas he would have easily sold the best quality rice at the rate of Rs..................... /- per quintal. Thus the plaintiff has suffered a damage of 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at.................... where the plaintiff has suffered the damage due to the delivery of the inferior quality of rice by the defendant within the jurisdiction of this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 the amount of damage suffered by the plaintiff and court fee is paid on the same. RELIEFS CLAIMED: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suit be decreed for damages of Rs..................... /- with interest from the date of the suit to the date of payment at such rate as the Court may deem fit and reasonable.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