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BY AN AGENT FOR MONEY PAID ON BEHALF OF THE PRINCIPAL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 carries on the business of commission agent of grains at.....................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defendant appointed the plaintiff as his commission agent for the purchase and sale of grain under the instructions of the former and agreed to pay .................... per cent commission of the sales effected through the plaintiff on behalf of the defendant. Interest at the rate of.................... per cent was also agreed on any sums spent by the plaintiff for such purchases.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defendant instructed the plaintiff to purchase.................... quintals of wheat and keep them with the latter until further instructions.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plaintiff purchased wheat in the aforesaid quantity for Rs..................... /- and kept it in his godown.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defendant instructed on.................... vide a telegram to sell the grain at the market rate, and the plaintiff sold the same accordingly for Rs..................... /- on.................... 19.................... at market price and thus earned a profit of Rs..................... for the defendant and the said Rs..................... /- was paid by the purchaser to the defendant through a bank draft which was sent to the defendant through the plaintiff.</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the defendant has sent only Rs..................... through a bank-draft to the plaintiff, and nothing more even at the written request made by the plaintiff.</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That the defendant owes to the plaintiff Rs..................... towards commission, Rs..................... as interest on the amount invested, total Rs.....................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That the cause of action arose on.................... the date of receipt of notice of the plaintiff by the defendant, within the jurisdiction of this Court.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That the valuation of the suit is Rs..................... and court-fee is paid accordingly.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relief claimed by way of this suit are: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Payment of Rs..................... on account of commission and Rs..................... on account of interest up-to-date of filing the suit, total Rs..................... by the defendant.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648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Advocate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