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IMPLEMENTATION OF AN AWARD</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day of.................... 19...................., the plaintiff and defendant, having a difference between them concerning a demand of the plaintiff for the price often barrels of oil which the defendant refused to pay, agreed in writing to submit the difference to the arbitration of.................. and.................., and the original document is annexed hereto.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arbitrators awarded that the defendant should pay the plaintiff.................... rupees.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defendant has not paid the money.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cause of action arose on.................... 19.................... when the defendant refused to pay the money, and this Court has jurisdiction to try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suit is valued at.................... rupees, the money awarded by the arbitration and the interest thereon at the rate of............. % per annum, and court fee is paid thereon.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 claimed by way of this suit is that this Court may be pleased to make the award the rule of the Court and decree the amount awarded by the Arbitration with interest at the rate of.............. % per annum.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 APPEAL AGAINST AWARD.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 is entitled to file appeal without being required to make deposit under Section 173 of Motor Vehicles Act against award passed in a petition instituted under Old Motor Vehicle Act of 1939.1</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VALIDITY OF AWARD.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validity of a\vard made under the Act can be challenged only within the parameters of the Act.2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four essential conditions necessary to make the Section 20 of the Act applicable. They are: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parties must have entered into an arbitration agreement.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The agreement must have been entered into before a suit with respect to its subject matter is filed in court.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A dispute or difference, contemplated in the agreement, must have arisen; and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The court has jurisdiction in the matter.3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ARBITRATION AND CONCILIATION ACT, 1996</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8 — PENDENCY OF APPEAL — REFERENCE OF MATTER TO ARBITRATION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pendency of appeal matter can be referred to arbitration.4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ORDERS BY COURT — SECTION 21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the Arbitration and Conciliation Act, 1996 the Court can pass interim order under Section 9 even before the Commencement of arbitral proceedings.5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APPOINTMENT OF ARBITRATOR BY CHIEF JUSTICE OF HIGH COURT UNDER SECTION 11(6) OF ARBITRATION AND CONCILIATION ACT, 1996.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Orders passed by the Chief Justice under section 11 (6) of the Arbitration and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Conciliation Act, 1996 being of an administrative nature cannot be subjected to any challenge directly under Article 136 of the Constitution of India.6</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STATE OF PROCEEDINGS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Proceedings under Section 11 of the Arbitration and Conciliation Act are not liable to be stayed on account of respondent having been declared a sick company under Section 22 of Sick Industrial Companies Act.7</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ARBITRATION AND CONCILIATION ACT, 1996 EXISTENCE OF ARBITRATION CLAUSE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jurisdiction of the Chief Justice of India or his designate to decide the question as to the existence of the arbitration clause cannot be doubted and cannot be said to be excluded by Section 16 of Arbitration and Conciliation Act, 1996.8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PROVISIONS OF 1996 ACT — CANNOT BE OPERATED RETROSPECTIVELY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provisions of the Arbitration and Reconciliation Act 1996 cannot be operated retrospectively in view of section 85(1) of the Act.9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Ramesh Singh v. Chinta Devi, 1996 (5) Supreme 153.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State of Bihar v. Shri Gopal Chandra Palit, 1996 (2) C. C. C. 242 (Pat.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M/s. Meena Engineering &amp; Contractor Pvt. Ltd. v. Municipal Corporation of Greater Bombay, 1996 (3) C. C. C. 152 (Bom.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 Anand Gopapathi Raju v. P. V. G. Raju, AIR 2000 SC 1886.</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M/s. Sundaram Finance Ltd. v. M/s. NEPC India Ltd., AIR 1999 SC 565.</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Ador Samia Pvt. Ltd. v. Peekay Holdings Ltd.. AIR 1999 SC 3246.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1TC Hotels Ltd. v. Amitabh Bachchan Corporation Ltd., 2001 (4) CCC 65 (Del.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Wellington Associates Ltd. v. Kirti Mehta, AIR 2000 SC 1379.</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Rajputana Hotels Pvt. Ltd. v. Pradeep Kumar Sriya, 2000 (1) CCC 178 (Raj.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34 OF THE ARBITRATION ACT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has filed the present suit for impleading the applicant as defendant. This Hon’ble Court has fixed.................... for filing the written statement.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as per Arbitration agreement entered into between the plaintiff and the defendant, it was agreed that in case of difference the matter may. be referred to Arbitrator to be appointed with the consent of both the parties.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matters in difference in the present suit are similar to the matters in difference referred to in the arbitration agreement. They should therefore have been first referred to an arbitrator to be appointed pursuant to the arbitration agreement.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plaintiff instead of referring the matters in dispute to the Arbitrator has filed the present suit. Since the plaintiff has filed the present proceedings in contravention of the terms of the Arbitration agreement, the proceedings of the present suit are liable to be stayed.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Applicant is ready and willing to do all things that are necessary for reference of dispute to Arbitrator as per the terms of the Arbitration Agreement.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proceedings in the suit be stayed on such terms and conditions as this Hon’ble Court may deem fit and proper.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0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/200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Plaintiff/Petitioner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Defendant/Respondent.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resident of ......................................................................... do hereby solemnly affirm and declare as under: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in this case and hence competent to swear this affidavit.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contents of the accompanying application are true and correct.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 that the contents of the above affidavit are true and correct to my knowledge.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TO GRANT INTEREST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34</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Neither the arbitrator nor the court dealing with the validity of the award can award a higher rate of interest than the mutually agreed rate.1</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Gautam Construction &amp; Fisheries Ltd. v. National Bank for A. &amp; R. Development, AIR 2000 SC 3018.</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