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No. 42</w:t>
        <w:br w:type="textWrapping"/>
        <w:t xml:space="preserve">ADMINISTRATION BY SPECIFIC LEGATEE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4"/>
          <w:szCs w:val="24"/>
        </w:rPr>
      </w:pPr>
      <w:r w:rsidDel="00000000" w:rsidR="00000000" w:rsidRPr="00000000">
        <w:rPr>
          <w:rFonts w:ascii="Arial" w:cs="Arial" w:eastAsia="Arial" w:hAnsi="Arial"/>
          <w:i w:val="1"/>
          <w:smallCaps w:val="0"/>
          <w:color w:val="000000"/>
          <w:sz w:val="24"/>
          <w:szCs w:val="24"/>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[Alter Form No. 41 thus]--</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[Omit paragraph 1 and commence paragraph 2] E.F., late of ....... died on or about the ...... day of ...... By his last will, dated the ...... day of..... he appointed C.D. his executor, and bequeathed to the plaintiff [here state the specif legacy].</w:t>
        <w:br w:type="textWrapping"/>
        <w:t xml:space="preserve">For paragraph 4 substitute--</w:t>
        <w:br w:type="textWrapping"/>
        <w:t xml:space="preserve">the defendant is in possession of the movable property of E.F., and, amongst other things of the said [here name the subject of the specific bequest].</w:t>
        <w:br w:type="textWrapping"/>
        <w:t xml:space="preserve">For the commencement of paragraph 7 substitute--</w:t>
        <w:br w:type="textWrapping"/>
        <w:t xml:space="preserve">The plaintiff claims that the defendant may be ordered to deliver to him the said [here name the subject of the specific bequest], or that, etc.</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