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No.................................. /200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 Plaintiff/Petitioner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 Defendant/Respondent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I............................................... resident of............................................................. .............................................. do hereby solemnly affirm and declare as under: 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 am the................................................. in this case and hence competent to swear this affidavit.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contents of the accompanying application are true and correct.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at................................. on this................................. day of ................................. that the contents of the above affidavit are true and correct to my knowledge.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IMPLEADMENT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1 Rule 10(2)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holding Licences has direct and legal interest in litigation. The impleadment cannot be rejected.1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IMPLEADMENT OF PARTY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1 Rule 10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real question to be decided while dealing with the application filed under Order 1 Rule 10 CPC whether the party sought to be impleaded is a necessary party for the determination of the real matter in dispute.2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All Kashmir Mini Bus Passengers Transport Federation v. State of J &amp; K, AIR 2001 J &amp; K 34.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Nalini v. Dhandapani Naidu, 2001 (1) CCC 80 (Mad.)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