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HIGH COURT OF THE....................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LA. No..................... of 19....................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 Plaintiff/Applicant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I,.................... s/o..................... aged about.................... years, r/o.................... do hereby solemnly affirm and declare as under: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 plaintiff in the abovesaid suit and am fully conversant with the facts of the same.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I have read and fully understood contents of the accompanying application u/o 6, Rule 17 read with section 151 C. P. C. for amendment of the plaint, which has been drafted by my advocate under my instruction and I say that the same are true to my knowledge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 on this the.................... day of.................... that contents of my above affidavit are true and correct to my knowledge and that nothing has been concealed therefrom.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LAW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 Rule 17.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well recognised that where the amendment does not constitute the addition of a new cause of action or raise a different case but amounts to no more than a different or additional approach to the same facts, the amendments will be allowed even after the expiry of the statutory period1.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 Rule 17 C. P. C.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OF PLAINT.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in a plaint dates back to the filing of the suit2.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 OF PLEADINGS.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6, Rule 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amendments of the pleadings should be allowed which are necessary for determination of the real controversies in the suit provided the proposed amendment does not alter or substitute a new cause of action on the basis of which the original lis was raised or defence taken.3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RELATING TO EVENTS OCCURRED SUBSEQUENT TO FILING OF SUIT.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 Rule 17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amendment relating to events which occurred subsequent to filing of suit could be allowed.4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IN PLEADINGS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 Rule 17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Amendments are allowed in the pleadings to avoid uncalled for multiplicity of litigation.5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OF PLAINT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6 Rule 17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amendment of plaint should be generally allowed where nature of suit is not altered provided it does not cause prejudice or surprise to the opposite party.6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J. C. Rudrasharma v. H. K. Subramanyam, 1996(2) C. C. C. 358 (Kant.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Ganesh Prasad v. Jang Jeet Singh, 1996(2) C. C. C. 263 (All. 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B. K. N. Pillai v. P. Pillai, AIR 2000 SC 614.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Tertuliano Renato de Silva v. Francisco Lourenco Betten court de silva, 2000 (3) CCC 1 (Bom.).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Raju Thilak D. John v. S. Rayappan, 2001 (1) CCC 109 (SC).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Anita Singh Chauhan v. Kedar Nath, 2000 (1) CCC 1 (Delhi).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