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b w:val="1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color w:val="000000"/>
          <w:sz w:val="20"/>
          <w:szCs w:val="20"/>
          <w:rtl w:val="0"/>
        </w:rPr>
        <w:t xml:space="preserve">No. 17</w:t>
        <w:br w:type="textWrapping"/>
        <w:t xml:space="preserve">AGAINST A BUILDER FOR DEFECTIVE WORKMANSHIP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i w:val="1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sz w:val="20"/>
          <w:szCs w:val="20"/>
          <w:rtl w:val="0"/>
        </w:rPr>
        <w:t xml:space="preserve">(Title)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i w:val="1"/>
          <w:smallCap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A.B., the above named plaintiff, states as follows:--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1. On the ........ day of ....... 19....., the plaintiff and defendant entered into an agreement, and the original document is hereto annexed. [or state the tenure of the contract.]</w:t>
        <w:br w:type="textWrapping"/>
        <w:t xml:space="preserve">2. The plaintiff duly performed all the conditions of the agreement on his part.</w:t>
        <w:br w:type="textWrapping"/>
        <w:t xml:space="preserve">3. The defendant [built the house referred to in the agreement in a bad and unworkman like manner].</w:t>
        <w:br w:type="textWrapping"/>
        <w:t xml:space="preserve">[As in paras 4 and 5 of Form No. 1, and relief claimed.]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