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35</w:t>
        <w:br w:type="textWrapping"/>
        <w:t xml:space="preserve">AN INJUNCTION RESTRAINING WASTE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The plaintiff is the absolute owner of [describe the property]</w:t>
        <w:br w:type="textWrapping"/>
        <w:t xml:space="preserve">2. The defendant is in possession of the same under a lease from the plaintiff.</w:t>
        <w:br w:type="textWrapping"/>
        <w:t xml:space="preserve">3. The defendant has [cut down a number of valuable trees, and threatens to cut down may more for the purpose of sale] without the consent of the plaintiff.</w:t>
        <w:br w:type="textWrapping"/>
        <w:t xml:space="preserve">[As in paras 4 and 5 of Form No. 1.]</w:t>
        <w:br w:type="textWrapping"/>
        <w:t xml:space="preserve">6. The plaintiff claims that the defendant be restrained by injunction from committing or permitting any further waste on the said premises.</w:t>
        <w:br w:type="textWrapping"/>
        <w:t xml:space="preserve">[pecuniary compensation may also be claimed.]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