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AD-INTERIM STAY U/O 39, RULES 1 &amp; 2 READ WITH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HON’BLE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it please to your lordship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humble plaintiff most respectfully showeth as under: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abovenoted suit against the defendant for possession and permanent injunction.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plaint may please be read as part of this application and the same have not been reproduced here for the sake of brevity.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has a good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and there is every chance of the plaintiff succeeding in the matter.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balance of convenience is strongly in favour of the plaintiff and against the defendant. The plaintiff will suffer irreparable injury and loss if the interim relief prayed for is not granted.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Hon’ble Court be released to grant 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ad-interim injunction, restraining the defendants, their successor’s agents, representatives, attorneys, assignees, transferees, employees and/or anyone acting on their behalf or through them to either enter upon the premises No.....................; and/or to hold themselves as the owners and/or as the holders of any lawful capacity by any means described and/or to enter into any transaction, negotiation or discussion with or without consideration for sale or transfer or for creating any encumberance of the whole or any part of the said property and not to obstruct, interfere or impede in any manner the use or enjoyment or ownership of the said premises by the plaintiff No. 2 or any other person claiming through or under the said plaintiff No.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 order or further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ad-interim order as deemed fit and proper may also be passed.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