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FOR COUNTER-CLAIM OF THE DEFENDANT UNDER ORDER 8 RULE 6A OF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counter-claim of the defendant is most respectfully submitted as under: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 paid Rs.................... towards House tax and Rs..................... towards water-tax of the house No..................... in occupation of the defendant as tenant of the plaintiff.</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 has also got fixed a shutter in the shop in the said house at the cost of Rs..................... with the permission of the plaintiff.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as aforesaid the plaintiff owes Rs..................... in total to the defendant.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the defendant claims the aforesaid amount from the plaintiff in connection with the accommodation in question about which arrears of Rent Rs..................... are claimed by the plaintiff from the defendant.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adjusting the arrears of rent aforesaid, the defendant’s Rs..................... remain due from the plaintiff which are claimed from the plaintiff besides the adjustment aforesaid.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this counter-claim is valued at Rs..................... and this court has pecuniary jurisdiction to decide the matter.</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ad valorem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court fee is paid on the amount claimed by the defendant from the plaintiff.</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That the relief claimed by way of this counter-claim is the arrears of rent claimed by the plaintiff may be adjusted from the amount due from the plaintiff or the defendant as aforesaid, and the remaining amount of Rs..................... may be decreed from the plaintiff to the plaintiff.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accordingly prayed.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defendant verify that the contents of paras 1 to 8 of the counterclaim are true to my personal knowledge. That no part of this counter-claim is false and nothing material has been concealed.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this.................... day of..:................. 19.................... at....................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List of Documents Filed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