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18, RULE 16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testimony of Shri........................................... the witnes is very essential as it will have a material bearing on the real question in controversy between the parties.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said Shri.................................................. is going abroad on ................................... for.....................................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other sufficient cause to the satisfaction of the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evidence of the said witness should be taken immediately and the summons to the said witness may kindly be issued to attend this Hon’ble Court 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aand declare as unden-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Verifiedat..................... on this...................... day of..................... that the contents of the above affidavit are true and correct to my knowledge.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POWER OF ATTORNEY OF PLAINTIFF — EXAMINATION OF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18 Rule 1 Order 3 Rule 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 of attorney of plaintiff can be examined for and on behalf of plaintiff as her substitute.1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ADDITIONAL EVIDENCE — WHEN CAN BE ALLOWED.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18 Rule 17-A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additional evidence can be allowed where party satisfies the court that after exercise of due diligence such evidence was not within his knwledge or could not be produced.2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BE NOT ADJOURNED DUE TO STRIKE BY ADVOCATE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17 Rule 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case should not be adjourned due to strike by Advocate.3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Gangavva v. Arjuna, AIR 2001 Kant. 231.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Ved Parkash v. Raj Rani Singla, 2001 (1) CCC 448 (P&amp;H).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Ramon Services Pvt. Ltd. v. Subhash Kapoor, AIR 2001 SC 208.</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