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22, RULE 9(2),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19.......................................: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respectfully submits as under: 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defendant died on.................... (date) and the application could not be made within a period of 90 days from the date of the death of the defendant, with the result the suit abated on.................... (date).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applicant was prevented by sufficient cause from making an application within the period of limitation due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(State sufficient cause)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persons mentioned below are the heirs and the legal representatives of the deceased defendant: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(Mention names and addresses)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abatement of the suit may be set aside on such terms as this Hon’ble Court thinks fit and proper.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accordingly prayed.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Dated:....................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