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34, RULE 8A, C.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applicant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a final decree was passed by this Hon’ble court on (.................... ) (date) declaring that the plaintiff and all other persons claiming under him are debarred from all right to redeem the mortgaged property and that the mortgaged property be sold and the proceeds of the sale deducting therefrom, expenses of the sale be paid into the court and applied in payment of amount due to the defendant.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an amount of Rs..................... is due to the defendant under the decree.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mortgaged property was sold in execution on.................... (date) and an amount of Rs..................... was realised.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net proceeds of the sale of the mortgaged are insufficient to pay the amount due to the defendant, and an amount of Rs..................... is still due to the defendant.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opposite party (plaintiff) owns and is in possession of the property specified in annexure ‘A’ to the application.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a personal decree for payment of Rs..................... be passed in favour of the applicant against the opposite party (plaintiff) recoverable out of the property specified in Annexure ‘A’ to this application.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accordingly prayed.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Applicant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