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38, RULE 5,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has instituted this suit for recovery of the arrears of rent amounting to Rs..................... against the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applicant has also claimed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rent to the extent of Rs. .................... till the suit is decided. The total decretal amount including costs of suit would be Rs..................... (approx.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is not possessed of any immovable property of his own within the jurisdiction of this Hon’ble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has reliably learnt that the defendant is likely to dispose of a part of his immovable property and he is about to remove the remainder from the local limits of the jurisdiction of this Hon’ble Court with intent to delay the execution of the decree that may be passed against him.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in case the defendant disposes of a part of his movable property and removes remainder thereof from the local limits of the jurisdiction of this Hon’ble Court, the applicant/plaintiff will not be able to realise the decretal amount from the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an affidavit in support of the above facts is being filed along with this application.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it is expedient in the ends of justice that the movable properties belonging to the defendant as specified in annexure annexed hereto this application be attached and the same be kept attached till present suit is decided.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defendant may be directed to furnish security to the extent of Rs..................... and place at the disposal of the court, when required, the property specified in the annexure annexed to the application.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