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41, RULE 5(2) OF THE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above mentioned suit for mandatory injunction was decreed by this Hon’ble Court against the applicant (defendant judgment-debtor) on............ (date).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against the aforesaid decree and judgment of this Hon’ble Court passed in the present suit, the applicant (defendant judgment-debtor) has preferred an appeal in the Court of....................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applicant has applied for the certified copies of the judgment and decree of this Hon’ble Court passed in the above-noted suit but has not been able to procure the same because they are not prepared.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(decree-holder) has put in execution application on .................... for the execution of the said decree and in case the wall of the applicant is demolished it will cause substantial loss and damage amounting to 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an affidavit in support of the said facts is being filed along-with this application.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execution of the decree may be stayed to enable the applicant to file an appeal in the Appellate Court against the said decree.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