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RULE 159 OF THE RAJASTHAN HIGH COURT RULES FOR ENTERING INTO CAVEAT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FORM OF CAVEAT IN RAJASTHAN HIGH COURT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HIGH COURT OF JUDICATURE FOR RAJASTHAN AT JAIPUR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 19............</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Versus.......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 it please your Lordships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 Lordships humble applicant wants to enter into caveat under R. 159 of the Rajasthan High Court Rules and let nothing be done till the applicants are heard in the matter. The particulars of the appeal/revision which is likely to be filed are given below:</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appeal may be filed by any of the following persons: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the appeal is likely to be filed against: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the judgment against which the Revision/Appeal is to be filed is from the Court of.................... dated....................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the Appeal/Revision which is to be filed will be....................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That Vakalatnama on behalf of Shri.................... is submitted herewith.</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therefore, humbly prayed that nothing be done in the case till the applicants are heard.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accordingly prayed.</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Petitioner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5760" w:right="0" w:firstLine="72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