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MUNSIF............................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Case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Applicant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U/s 151 C. P. 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U/o 39 R. 2A it is the Court in which the suit is proceeding has jurisdiction to decide the Misc. Case under that order and rule, and from the record to the original suit, it has come to the notice of the plaintiff on 2-8-80 after inspection of record that Xlth Addl. Munsif, Agra is the Court to which the original suit has been transferred by the learned District Judge, Agra and was dismissed in default of plaintiff on 27-11-79 and the defendant having appeared in that Court on that date has knowledge of the dismissal of the suit and he needs no further information as to the dismissal of the original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this learned Court accordingly ceases to have jurisdiction to hear and dispose of the civil Misc. case aforesaid.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learned Court may transfer the record of the Civil Misc. case aforesaid to the Court of the............................ for disposal.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Counsel for Applicant.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all the facts are on the record of the Court as such no affidavit in support of the application is required.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 Tewari &amp; Co.,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Advocate-on-Record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Counsel for Applicant.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