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BOND FOR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SAFE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CUSTODY OF MOVABLE PROPERTY ATTACHED AND LEFT IN CHARGE OF ANY PERSON AND SURETIES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(Order XXI, Rule 43(1 )(c)).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Suit No................................... of 200................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of..................................................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against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 all men by these presents that we I. J. of.................. etc., and K. L. of ...................................... etc. and M. N. of in etc., are jointly and severally bound to the Judge of the Court of......................... in Rupees............................. to be paid to the said Judge, for which payment to be made we bind ourselves, and each of us, in the whole, our and each of our heirs, executors and administrators, jointly and severally, by these presents.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this............................ day of................................ 200................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whereas the movable property specified in the schedule hereunto annexed has been attached under a warrant from the said Court, dated the......................... day of............................ 200................... is execution of a decree in favour of ............................... in Suit No........................ of 200................ of the file of ............................. and the said property has been left in the charge of the said I. J.</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the condition of this obligation is that, if the above bounden I. J. shall duly account for the produce when required before the said Court all the every property aforesaid and shall obey any further order of the Court in respect thereof, then this obligation shall be void; otherwise it shall remain in full force and be enforceable against the above bounden I. J. in accordance with the procedure laid down in Section 145, Civil Procedure Code, as if the aforesaid I. J. in accordance with the procedure laid down in Section 145, Civil Procedure Code, as if the aforesaid I. J. were a surety for the restoration of property taken in execution of a decree.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above bounden in the presence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No. 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Witness No. 2. Parties.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