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BOND FOR SAFE CUSTODY OF MOVABLE PROPERTY ATTACHED AND LEFT INCHARGE OF PERSON INTERESTED AND SURETIES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(Order XXI, Rule 43).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at...............................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Suit No............................ of 200...........................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of.................................................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against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of.................................................</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 all men by these presents that we, I. J. of............ etc., and K. L. of ..................... etc., and M. N. of.................................... etc., are jointly.............................. and severally bound to the Judge of the Court of..................... in Rupees.......................... to be paid to the said Judge, for which payment to be made we bind ourselves, and each of us, in the whole, our and each of our heirs, executors and administrators, jointly and severally, by these presents.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day of........................ 200............</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movable property specified in the schedule hereunto annexed has been attached under a warrant from the said Court, dated the...................... day of.............................. 200............... in execution of a decree in favour of ................................ in Suit No............................... of.......................... 200.............. on the file of.............................. and the said property has been left in the charge of the said I. J.</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 condition of this obligation is that, if the above bounden I. J. shall duly account for and produce when required before the said Court all and every property aforesaid and shall obey and further offer of the Court in respect thereof, then this obligation shall be void; otherwise it shall remain in full force.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 and delivered by the above bounden in the presence of...........................</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 1.</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 2. Party.</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