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2</w:t>
        <w:br w:type="textWrapping"/>
        <w:t xml:space="preserve">DEFENCE IN SUITS ON BONDS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bonds is not the defendant's bond.</w:t>
        <w:br w:type="textWrapping"/>
        <w:t xml:space="preserve">2. The defendant made payment to the plaintiff on the day according to the condition of the bond.</w:t>
        <w:br w:type="textWrapping"/>
        <w:t xml:space="preserve">3. The defendant made payment to the plaintiff after the day named and before suit of the principal and interest mentioned in the bond.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