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Expedite application before the High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Misc.  Application No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Chapter VIII Rule 33 of High Court Rules) on behalf of the appellant.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Second Appeal No. ……….of 20……...</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tab/>
        <w:tab/>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M/s. ………………………. and others </w:t>
        <w:tab/>
        <w:tab/>
        <w:tab/>
        <w:tab/>
        <w:t xml:space="preserve">...Defendants/ Appellants.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M/s. ………………………</w:t>
        <w:tab/>
        <w:tab/>
        <w:tab/>
        <w:tab/>
        <w:tab/>
        <w:tab/>
        <w:t xml:space="preserve">…Plaintiff/Respondents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Chief Justice and his other companion Judges of the aforesaid Court.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appellants most humbly showeth as under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plaintiff-respondent filed a suit for recovery of Rs. ………../- on the allegation that appellants purchased bricks from the firm of respondents and have not paid for the same.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appellants contested the suit on many grounds including the bar of Section 69 of the Partnership Act against the maintainability of the suit.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both the courts below decreed the suit of the plaintiff-respondents.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appellants filed the present second appeal and the honourable court was pleased to admit the appeal and stay the operation of the impugned judgment and decree vide its order dated ………20……..</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on ……….20…… Hon'ble Mr. Justice ……….………………… vacated the stay order dated ……….. 20…… and directed the appellant to deposit the entire decreetal amount within three months, without affording any safeguards to the interest of appellants in case the present appeal is allowed.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order dated ……..20………. virtually amounts to the execution of the impugned decree and puts the appellants at an irreparable loss.  The present appeal shall become infructuous if the case is pot finally heard at the earliest.</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it is just and expedient in the interest of justice that the Hon'ble.  Court may be pleased to expedite the hearing of the present second appeal and fix a date for the purpose.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ind w:left="14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fix a date for the final hearing of the abovenoted second appeal.</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480" w:lineRule="auto"/>
        <w:ind w:left="590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Appellants.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2880"/>
          <w:tab w:val="left" w:leader="none" w:pos="4464"/>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 w:val="left" w:leader="none" w:pos="19440"/>
          <w:tab w:val="left" w:leader="none" w:pos="20160"/>
          <w:tab w:val="left" w:leader="none" w:pos="20880"/>
          <w:tab w:val="left" w:leader="none" w:pos="21600"/>
          <w:tab w:val="left" w:leader="none" w:pos="22320"/>
          <w:tab w:val="left" w:leader="none" w:pos="23040"/>
          <w:tab w:val="left" w:leader="none" w:pos="23760"/>
          <w:tab w:val="left" w:leader="none" w:pos="24480"/>
          <w:tab w:val="left" w:leader="none" w:pos="25200"/>
        </w:tabs>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