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45</w:t>
        <w:br w:type="textWrapping"/>
        <w:t xml:space="preserve">FORECLOSURE OR SALE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The plaintiff is mortgagee of lands belonging to the defendant.</w:t>
        <w:br w:type="textWrapping"/>
        <w:t xml:space="preserve">2. </w:t>
        <w:tab/>
        <w:t xml:space="preserve">The following are the particulars of the mortgage:--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(a) (date);</w:t>
        <w:br w:type="textWrapping"/>
        <w:t xml:space="preserve">(b) (names of mortgagor and mortgagee);</w:t>
        <w:br w:type="textWrapping"/>
        <w:t xml:space="preserve">(c) (sum secured);</w:t>
        <w:br w:type="textWrapping"/>
        <w:t xml:space="preserve">(d) (rate of interest);</w:t>
        <w:br w:type="textWrapping"/>
        <w:t xml:space="preserve">(e) (property subject to mortgage);</w:t>
        <w:br w:type="textWrapping"/>
        <w:t xml:space="preserve">(f) (amount now due);</w:t>
        <w:br w:type="textWrapping"/>
        <w:t xml:space="preserve">(g) (if the plaintiffs title is derivative, state shortly the transfers or devolution under which he claims.--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firstLine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(If the plaintiff is mortgagee in possession, add).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The plaintiff took possession of the mortgaged property on the ............. day of ............... and is ready to account as mortgagee in possession from the time.</w:t>
        <w:br w:type="textWrapping"/>
        <w:t xml:space="preserve">[As in paras 4 and 5 of Form No. 1.]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  <w:tab/>
        <w:t xml:space="preserve">The plaintiff claims--</w:t>
        <w:br w:type="textWrapping"/>
        <w:t xml:space="preserve">(1) </w:t>
        <w:tab/>
        <w:t xml:space="preserve">payment, or in default [sale or] foreclosure [and possession];</w:t>
        <w:br w:type="textWrapping"/>
        <w:t xml:space="preserve">              [Where Order 34, and of Form No. 1]</w:t>
        <w:br w:type="textWrapping"/>
        <w:t xml:space="preserve">(2) </w:t>
        <w:tab/>
        <w:t xml:space="preserve">in case the proceeds of the sale are found to be insufficient to pay the amount due 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plaintiff, then that liberty be reserved to the plaintiff to apply for an order for the balance.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63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