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</w:t>
        <w:br w:type="textWrapping"/>
        <w:t xml:space="preserve">GOODS SOLD AT A FIXED PRICE AND DELIVERED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A.B., the above named plaintiff, states as follows:--</w:t>
        <w:br w:type="textWrapping"/>
        <w:t xml:space="preserve">1.</w:t>
        <w:tab/>
        <w:t xml:space="preserve">On the ....... day of ....... 20...., E.F. sold and delivered to the defendant [one hundred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barrels of flour, or the goods mentioned in the schedule hereto annexed, or sundry goods.]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  <w:tab/>
        <w:t xml:space="preserve">The defendant promised to pay ..... rupees for the said goods on delivery [or on the ...... day of ....., same day before the plaint was filed].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  <w:tab/>
        <w:t xml:space="preserve">He has not paid the same.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  <w:t xml:space="preserve">E.F., died on the ......... day of ...... 20..... By his last will be appointed his brother, the plaintiff, his executor.</w:t>
        <w:br w:type="textWrapping"/>
        <w:t xml:space="preserve">[As in paras 4 and 5 of Form No. 1]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  <w:tab/>
        <w:t xml:space="preserve">The plaintiff as executor of E.F claims [Relief claimed.]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