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4</w:t>
        <w:br w:type="textWrapping"/>
        <w:t xml:space="preserve">GOODS SOLD AT A REASONABLE PRICE AND DELIVERED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 day of....... 20......, plaintiff sold and delivered to the defendant [sundry articles of house furniture], but no express agreement was made as to the price.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goods were reasonably worth ..... rupees.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The defendant has not paid the money.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