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b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sz w:val="20"/>
          <w:szCs w:val="20"/>
          <w:rtl w:val="0"/>
        </w:rPr>
        <w:t xml:space="preserve">No. 38</w:t>
        <w:br w:type="textWrapping"/>
        <w:t xml:space="preserve">INJUNCTION AGAINST THE DIVERSION OF A WATER-COURSE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sz w:val="20"/>
          <w:szCs w:val="20"/>
          <w:rtl w:val="0"/>
        </w:rPr>
        <w:t xml:space="preserve">(Title)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A.B., the above named plaintiff, states as follows:--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[As in Form No. 27]</w:t>
        <w:br w:type="textWrapping"/>
        <w:t xml:space="preserve">The plaintiff claims that the defendant be restrained by injunction from diverting the water as aforesaid.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