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40</w:t>
        <w:br w:type="textWrapping"/>
        <w:t xml:space="preserve">INTERPLEADER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Before the date of the claims hereinafter mentioned G.H deposited with the plaintiff [describe the property] for [safe keeping].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defendant C.D. claims the same [under an alleged assignment thereof to him from G.H.]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defendant E.F. also claims the same [under an order of G.H. transferring the same to him].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The plaintiff is ignorant of the respective rights of the defendants.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5. </w:t>
        <w:tab/>
        <w:t xml:space="preserve">He has no claim upon the said property other than for charges and costs, and is ready and willing to deliver it to such persons as the court shall direct.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6. </w:t>
        <w:tab/>
        <w:t xml:space="preserve">The suit is not brought by collusion with either of the defendants.</w:t>
        <w:br w:type="textWrapping"/>
        <w:t xml:space="preserve">[As in paras 4 and 5 of Form No. 1.]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7.</w:t>
        <w:tab/>
        <w:t xml:space="preserve">The plaintiff claims—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(1) that the defendants be restrained, by injunction, from taking any proceedings against the      plaintiff in relation thereto;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(2) that they be required to interplead together concerning their claims to the said property;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(3) that some person be authorised to receive the said property pending such litigation;]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firstLine="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(4) that upon delivering the same to such [person] the plaintiff be discharged from all liability to either of the defendants in relation thereto.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63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