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32</w:t>
        <w:br w:type="textWrapping"/>
        <w:t xml:space="preserve">MOVABLES WRONGFULLY DETAINED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 day of ..... 20...., plaintiff owned [or state facts showing a right to the possession] the goods mentioned in the schedule hereto annexed [or describe the goods], the estimated value of which is..... rupees.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From that day until the commencement of this suit the defendant has detained the same from the plaintiff.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Before the commencement of the suit, to wit, on the .... day of ..... 20...., the plaintiff demanded the same from the defendant, but he refused to deliver them.</w:t>
        <w:br w:type="textWrapping"/>
        <w:t xml:space="preserve">[As in paras 4 and 5 of Form No. 1.]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  <w:tab/>
        <w:t xml:space="preserve">The plaintiff claims--</w:t>
        <w:br w:type="textWrapping"/>
        <w:t xml:space="preserve">(1) delivery of the said goods, or ....... rupees, in case delivery cannot be had;</w:t>
        <w:br w:type="textWrapping"/>
        <w:t xml:space="preserve">(2) ..... rupees compensation for the detention thereof.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