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4"/>
          <w:szCs w:val="24"/>
          <w:rtl w:val="0"/>
        </w:rPr>
        <w:t xml:space="preserve">No. 41</w:t>
        <w:br w:type="textWrapping"/>
        <w:t xml:space="preserve">ADMINISTRATION BY CREDITOR ON BEHALF OF HIMSELF AND</w:t>
        <w:br w:type="textWrapping"/>
        <w:t xml:space="preserve">ALL OTHER CREDITORS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4"/>
          <w:szCs w:val="24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E.F., late of........., was at the time of his death, and his estate still is, indebted to the plaintiff in the sum of ... [here insert nature of debt and security, if any]</w:t>
        <w:br w:type="textWrapping"/>
        <w:t xml:space="preserve">2. E.F. died on or about the ..... day of ..... By his last will, dated the ....... day of ..... he appointed C.D. his executor [or devised his estate in trust, etc., or died intestate, as the case may be.]</w:t>
        <w:br w:type="textWrapping"/>
        <w:t xml:space="preserve">3. The will was proved by C.D, [or letters of administration were granted, etc.]</w:t>
        <w:br w:type="textWrapping"/>
        <w:t xml:space="preserve">4. The defendant has possessed himself of the movable [and immovable, or the proceeds of the immovable] property of E.F , and has not paid the plaintiff his debt.</w:t>
        <w:br w:type="textWrapping"/>
        <w:t xml:space="preserve">[As in paras 4 and 5 of Form No. 1.]</w:t>
        <w:br w:type="textWrapping"/>
        <w:t xml:space="preserve">7. The plaintiff claims that an account may be taken of the movable [and immovable] property of E.F., deceased, and that the same may be administered under the decree of the court.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98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