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14</w:t>
        <w:br w:type="textWrapping"/>
        <w:t xml:space="preserve">NOT DELIVERING GOODS SOLD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(Title)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A.B., the above named plaintiff, states as follows:--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1. </w:t>
        <w:tab/>
        <w:t xml:space="preserve">On the ..... day of ........ 20......, the plaintiff and defendant mutually agreed that the defendant should deliver [one hundred barrels of flour] to the plaintiff on the day....... of ..........20....., and that the plaintiff should pay therefore ..... rupees on delivery.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2. </w:t>
        <w:tab/>
        <w:t xml:space="preserve">On the [said] day the plaintiff was ready and willing, and offered, to pay the defendant the said sum upon delivery of the goods.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3. </w:t>
        <w:tab/>
        <w:t xml:space="preserve">The defendant has not delivered the goods, and the plaintiff has been deprived of the profits which would have accrued to him from such delivery.</w:t>
        <w:br w:type="textWrapping"/>
        <w:t xml:space="preserve">[As in paras 4 and 5 of Form No. 1, and relief claimed.]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