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OBJECTION AS TO PECUNIARY JURISDICTION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Objection as to pecuniary jurisdiction of the court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defendant most respectfully submits his objection as to pecuniary jurisdiction of this learned Court as follows: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pecuniary jurisdiction of a Munsif in.................... is only upto 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has undervalued the suit simply to serve the court fee and to bring the matter within the pecuniary jurisdiction of this court.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it is expedient that the suit may be properly valued and if the valuation is found to be more than Rs..................... the plaintiff may be asked to pay proper court fee on the plaint and then the suit may be transferred to the Court of the Civil Judge.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Defendant-objector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76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Counsel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