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(3) PLAINTS</w:t>
        <w:br w:type="textWrapping"/>
        <w:t xml:space="preserve">No. 1</w:t>
        <w:br w:type="textWrapping"/>
        <w:t xml:space="preserve">MONEY LENT</w:t>
      </w: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I. </w:t>
        <w:tab/>
        <w:t xml:space="preserve">On the ....... day of .......... 20........, he lent the defendant ....... rupees repayable on the ...... day of.......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The defendant has not paid the same, except rupees ...... paid on the ....... day of .......20......</w:t>
        <w:br w:type="textWrapping"/>
        <w:t xml:space="preserve">[If the plaintiff claims exemption from any law of limitation, say:--]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The plaintiff was a minor [or insane] from the ...... day of ....... till the ......... day of.......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4. </w:t>
        <w:tab/>
        <w:t xml:space="preserve">[Facts showing when the cause of action arose and that the court has jurisdiction.]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5. </w:t>
        <w:tab/>
        <w:t xml:space="preserve">The value of the subject-matter of the suit for the purpose of jurisdiction is...... rupees and for the purpose of Court fee is ..... rupees.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6. </w:t>
        <w:tab/>
        <w:t xml:space="preserve">The plaintiff claims ...... rupees, with interest at ....... per cent from the ........ day of .......20....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