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21</w:t>
        <w:br w:type="textWrapping"/>
        <w:t xml:space="preserve">PROCURING PROPERTY BY FRAUD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On the .......... day of .......20...., the defendant, for the purpose of inducing the plaintiff to sell him certain goods, represented to the plaintiff that [he, the defendant, was solvent, and worth..... rupees over all his liabilities.]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The plaintiff was thereby induced to sell [and deliver] to the defendant, [dry goods] of the value of ...... rupees.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</w:t>
        <w:tab/>
        <w:t xml:space="preserve">The said representation were false [or state the particular falsehoods] and were then known by the defendant to be so.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4. </w:t>
        <w:tab/>
        <w:t xml:space="preserve">The defendant has not paid for the goods. [or, if the goods were not delivered.] The plaintiff, in preparing and shipping the goods and procuring their restoration, expended...... rupees.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