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37</w:t>
        <w:br w:type="textWrapping"/>
        <w:t xml:space="preserve">PUBLIC NUISANCE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A.B., the above named plaintiff, states as follows:--</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1. </w:t>
        <w:tab/>
        <w:t xml:space="preserve">The defendant has wrongly heaped up earth and stones on a public road known as ...... street at.... so as to obstruct the passage of the public along the same and threatens and intends, unless restrained from so doing, to continue and repeat the said wrongful act.</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2. </w:t>
        <w:tab/>
        <w:t xml:space="preserve">The plaintiff has obtained the leave of the court for the institution of this suit.</w:t>
        <w:br w:type="textWrapping"/>
        <w:t xml:space="preserve">Not applicable where suit is instituted by the Advocate-General.</w:t>
        <w:br w:type="textWrapping"/>
        <w:t xml:space="preserve">[As in paras 4 and 5 of Form No. 1.]</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tab/>
        <w:t xml:space="preserve">The plaintiff claims--</w:t>
        <w:br w:type="textWrapping"/>
        <w:t xml:space="preserve">(1) a declaration that the defendant is not entitled to obstruct the passage of the public along the said public road;</w:t>
        <w:br w:type="textWrapping"/>
        <w:t xml:space="preserve">(2) an injunction restraining the defendant from obstructing the passage of the public along the said public road and directing the defendant to remove the earth and stones wrongfully heaped up as aforesaid.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