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46</w:t>
        <w:br w:type="textWrapping"/>
        <w:t xml:space="preserve">REDEMPTION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The plaintiff is mortgagor of lands of which the defendant is mortgagee.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following are the particulars of the mortgage:--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(a) (date);</w:t>
        <w:br w:type="textWrapping"/>
        <w:t xml:space="preserve">(b) (names of mortgagor and mortgagee);</w:t>
        <w:br w:type="textWrapping"/>
        <w:t xml:space="preserve">(c) (sum secured);</w:t>
        <w:br w:type="textWrapping"/>
        <w:t xml:space="preserve">(d) (rate of interest);</w:t>
        <w:br w:type="textWrapping"/>
        <w:t xml:space="preserve">(e) (property subject to mortgage);</w:t>
        <w:br w:type="textWrapping"/>
        <w:t xml:space="preserve">(f) (if the plaintiffs title is derivative, state shortly the transfers or devolution under which he claims.)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firstLine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(If the defendant is mortgagee in possession, add).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defendant has taken possession [or has received the rents] of the mortgaged property.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[As in paras 4 and 5 of Form No. 1.]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6. </w:t>
        <w:tab/>
        <w:t xml:space="preserve">The plaintiff claims to redeem the said property and to have the same reconveyed to him [and to have possession thereof] together with manse profits.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