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39</w:t>
        <w:br w:type="textWrapping"/>
        <w:t xml:space="preserve">RESTORATION OF MOVABLE PROPERTY THREATENED WITH</w:t>
        <w:br w:type="textWrapping"/>
        <w:t xml:space="preserve">DESTRUCTION, AND FOR AN INJUNCTION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1. </w:t>
        <w:tab/>
        <w:t xml:space="preserve">Plaintiff is, and at all times hereinafter mentioned was, the owner of [a portrait of his grandfather which was executed by an eminent painter], and of which no duplicate exists [or state any facts showing that the property is of a kind that cannot be replaced by money].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2. </w:t>
        <w:tab/>
        <w:t xml:space="preserve">On the ....... day of ...... 20....., he deposited the same for safe-keeping with the defendant.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3. </w:t>
        <w:tab/>
        <w:t xml:space="preserve">On the ...... day of ..... 19...., he demanded the same from the defendant and offered to pay all reasonable charges for the storage of the same.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4. </w:t>
        <w:tab/>
        <w:t xml:space="preserve">The defendant refuses to deliver the same to the plaintiff and threatens to conceal, dispose of, cut or inure the same if required to deliver it up.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5. </w:t>
        <w:tab/>
        <w:t xml:space="preserve">No pecuniary compensation would be an adequate compensation to the plaintiff for the loss of the [painting].</w:t>
        <w:br w:type="textWrapping"/>
        <w:t xml:space="preserve">[As in paras 4 and 5 of Form No. 1.]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  <w:tab/>
        <w:t xml:space="preserve">The plaintiff claims--</w:t>
        <w:br w:type="textWrapping"/>
        <w:t xml:space="preserve">(1) that the defendant be restrained by injunction from disposing of, injuring or concealing the said [painting];</w:t>
        <w:br w:type="textWrapping"/>
        <w:t xml:space="preserve">(2) that he be compelled to deliver the same to the plaintiff.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