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SECURITY UNDER ORDER XXXVIII RULE 9</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at................................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Amount of suit, Rupees.........................................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Whereas in the suit above specified the plaintiff aforesaid has applied to the said court that the said defendant........................... may be called on to furnish sufficient security to fulfil any decree that may be passed against him in the said suit, or that on his failure so to do, certain property of the said defendant.................. may be attached.</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whereas on the failure of the said defendants................... to furnish such security, or, show cause why it should not be furnished the property aforesaid of the said defendant............................ has been attached by order of the said court: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Therefore, I........................ inhabitant of................... have voluntarily become security and hereby bind myself my heirs and executors, to.................... as Judge of the Court and his successors in office, that the said defendant.......................... shall produce and place at the disposal of the said court, when required, the property herein below specified, namely (here give description of property or refer to an annexed schedule) or the value of the same, or such portion thereof as may be sufficient to fulfil such decree and shall when required pay the costs of the attachment, and in a default of his so doing. I bind myself, my heirs and executors to pay to.......................... as Judge of the said court and his successors in office on its order that such sum to the extent of rupees (here enter a sufficient sum to cover the amount of suit, with costs and the costs of the attachment) as the said Court may adjudge against the said defendant.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Witness my hand at........................... this...................... day of 199................</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(Signed)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Witnesses: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