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8</w:t>
        <w:br w:type="textWrapping"/>
        <w:t xml:space="preserve">SERVICES AND MATERIALS AT A REASONABLE COST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A.B., the above named plaintiff, states as follows:--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1. </w:t>
        <w:tab/>
        <w:t xml:space="preserve">On the ...... day of ...... 20 ........., at......, the plaintiff built a house [known as No......, in .....], and furnished the materials therefore, for the defendant, at his request, but no express agreement was made as to the amount to be paid for such work and materials.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" w:hanging="720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2. </w:t>
        <w:tab/>
        <w:t xml:space="preserve">The work done and materials supplied were reasonably worth ..... rupees.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The defendant has not paid the money.</w:t>
        <w:br w:type="textWrapping"/>
        <w:t xml:space="preserve">[As in paras 4 and 5 of Form No. 1, and relief claimed.]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