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17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     Registration No. of the Company </w:t>
        <w:tab/>
        <w:tab/>
        <w:tab/>
        <w:tab/>
        <w:t xml:space="preserve">          Nominal Capital: Rs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   THE COMPANIES ACT, 1956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Memorandum of complete satisfaction of charge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138]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the company </w:t>
        <w:tab/>
        <w:tab/>
        <w:tab/>
        <w:tab/>
        <w:t xml:space="preserve">Limited /Private Limited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Presented by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Limited/Private Limited/ </w:t>
        <w:tab/>
        <w:tab/>
        <w:tab/>
        <w:t xml:space="preserve">Hereby gives notice that  the registered charge being </w:t>
        <w:tab/>
        <w:tab/>
        <w:tab/>
        <w:t xml:space="preserve">of which particulars were registered with Registrar of Companies on the </w:t>
        <w:tab/>
        <w:t xml:space="preserve">day of </w:t>
        <w:tab/>
        <w:tab/>
        <w:t xml:space="preserve">   19</w:t>
        <w:tab/>
        <w:tab/>
        <w:t xml:space="preserve"> was satisfied in full on the</w:t>
        <w:tab/>
        <w:t xml:space="preserve">day of</w:t>
        <w:tab/>
        <w:tab/>
        <w:tab/>
        <w:t xml:space="preserve">19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the debts for which the charge was given having been paid or satisfied.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this </w:t>
        <w:tab/>
        <w:tab/>
        <w:tab/>
        <w:tab/>
        <w:t xml:space="preserve">Day of</w:t>
        <w:tab/>
        <w:tab/>
        <w:tab/>
        <w:t xml:space="preserve">19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 or position 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in relation of the Company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“charge” includes mortgage see section 124.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 description of the instrument(s) creating or evidencing the charge, e. g. ‘mortgage’ “charge”, ‘Debenture’ etc. with the date there of should be given. If the registered charge was a ‘Series of Debentures’ or ‘Debenture Stock’ the words “authorised by resolution”, together with the date of the resolution should be added.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