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21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         Registration No. of Company </w:t>
        <w:tab/>
        <w:tab/>
        <w:tab/>
        <w:t xml:space="preserve">    </w:t>
        <w:tab/>
        <w:t xml:space="preserve">           Nominal Capital Rs.: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COMPANES ACT, 1956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Notice of the court’s/Company Law Board’s Order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[Pursuant to section </w:t>
        <w:tab/>
        <w:tab/>
        <w:t xml:space="preserve">*]</w:t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08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the company 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08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the Court/Company Law Board with location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08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 of passing the order 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08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Section of the Companies Act under which order passed 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An authenticated copy of the order is attached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this </w:t>
        <w:tab/>
        <w:tab/>
        <w:t xml:space="preserve">      day of </w:t>
        <w:tab/>
        <w:tab/>
        <w:t xml:space="preserve">  19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(In Block Capitals)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</w:t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Indicate the section pursuant to which the order passed ---- 17(1), 79, 81(2), (4) and 94A(2), 102(1), 107(3), 111(5), 141, 155, 186, 391(2), 394(1), 397 and 398.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