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23AB</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(See Rule 7A)</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2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Statement contenting salient features of balance sheet and profit and loss account, etc. as per section 219(1)(b)(iv)</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2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Form of Abridged Balance Sheet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6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of the Company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6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Abridged balance sheet as at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tl w:val="0"/>
        </w:rPr>
      </w:r>
    </w:p>
    <w:tbl>
      <w:tblPr>
        <w:tblStyle w:val="Table1"/>
        <w:tblW w:w="853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
        <w:gridCol w:w="4224"/>
        <w:gridCol w:w="1567"/>
        <w:gridCol w:w="1090"/>
        <w:gridCol w:w="1087.9999999999995"/>
        <w:gridCol w:w="7.000000000000455"/>
        <w:tblGridChange w:id="0">
          <w:tblGrid>
            <w:gridCol w:w="558"/>
            <w:gridCol w:w="4224"/>
            <w:gridCol w:w="1567"/>
            <w:gridCol w:w="1090"/>
            <w:gridCol w:w="1087.9999999999995"/>
            <w:gridCol w:w="7.000000000000455"/>
          </w:tblGrid>
        </w:tblGridChange>
      </w:tblGrid>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Particulars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Figures at the end of </w:t>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Current financial year</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Previous financial year</w:t>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SOURCES OF FUNDS</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(4)</w:t>
              <w:tab/>
              <w:t xml:space="preserve">Shareholders funds</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ind w:left="288"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tab/>
              <w:t xml:space="preserve">Capital </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ind w:left="216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Equity</w:t>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ind w:left="216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ind w:left="216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ind w:left="216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Preference</w:t>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ind w:left="216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ind w:left="216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ind w:left="216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w:t>
              <w:tab/>
              <w:t xml:space="preserve">Reserves and surplus</w:t>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ind w:left="216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ind w:left="216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ind w:left="288"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tab/>
              <w:t xml:space="preserve">Reserves and surplus</w:t>
            </w:r>
          </w:p>
        </w:tc>
        <w:tc>
          <w:tcPr>
            <w:shd w:fill="auto" w:val="clear"/>
            <w:tcMar>
              <w:top w:w="0.0" w:type="dxa"/>
              <w:left w:w="108.0" w:type="dxa"/>
              <w:bottom w:w="0.0" w:type="dxa"/>
              <w:right w:w="108.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Capital 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Revenue 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w:t>
              <w:tab/>
              <w:t xml:space="preserve">Revaluation 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(iv)</w:t>
              <w:tab/>
              <w:t xml:space="preserve">Surplus in profit and loss account </w:t>
            </w:r>
          </w:p>
        </w:tc>
        <w:tc>
          <w:tcPr>
            <w:shd w:fill="auto" w:val="clear"/>
            <w:tcMar>
              <w:top w:w="0.0" w:type="dxa"/>
              <w:left w:w="108.0" w:type="dxa"/>
              <w:bottom w:w="0.0" w:type="dxa"/>
              <w:right w:w="108.0" w:type="dxa"/>
            </w:tcMar>
            <w:vAlign w:val="top"/>
          </w:tcPr>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(v)</w:t>
              <w:tab/>
              <w:t xml:space="preserve">Share premium 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(vi)</w:t>
              <w:tab/>
              <w:t xml:space="preserve">Investment allowance 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(5)</w:t>
              <w:tab/>
              <w:t xml:space="preserve">Loan funds</w:t>
            </w:r>
          </w:p>
        </w:tc>
        <w:tc>
          <w:tcPr>
            <w:shd w:fill="auto" w:val="clear"/>
            <w:tcMar>
              <w:top w:w="0.0" w:type="dxa"/>
              <w:left w:w="108.0" w:type="dxa"/>
              <w:bottom w:w="0.0" w:type="dxa"/>
              <w:right w:w="108.0" w:type="dxa"/>
            </w:tcMar>
            <w:vAlign w:val="top"/>
          </w:tcPr>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line="240" w:lineRule="auto"/>
              <w:ind w:left="288"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tab/>
              <w:t xml:space="preserve">Debentures (the amount of convertible /partly convertible debentures indicating the date of conversion] </w:t>
            </w:r>
          </w:p>
        </w:tc>
        <w:tc>
          <w:tcPr>
            <w:shd w:fill="auto" w:val="clear"/>
            <w:tcMar>
              <w:top w:w="0.0" w:type="dxa"/>
              <w:left w:w="108.0" w:type="dxa"/>
              <w:bottom w:w="0.0" w:type="dxa"/>
              <w:right w:w="108.0" w:type="dxa"/>
            </w:tcMar>
            <w:vAlign w:val="top"/>
          </w:tcPr>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line="240" w:lineRule="auto"/>
              <w:ind w:left="288"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tab/>
              <w:t xml:space="preserve">Public deposits</w:t>
            </w:r>
          </w:p>
        </w:tc>
        <w:tc>
          <w:tcPr>
            <w:shd w:fill="auto" w:val="clear"/>
            <w:tcMar>
              <w:top w:w="0.0" w:type="dxa"/>
              <w:left w:w="108.0" w:type="dxa"/>
              <w:bottom w:w="0.0" w:type="dxa"/>
              <w:right w:w="108.0" w:type="dxa"/>
            </w:tcMar>
            <w:vAlign w:val="top"/>
          </w:tcPr>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line="240" w:lineRule="auto"/>
              <w:ind w:left="288"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w:t>
              <w:tab/>
              <w:t xml:space="preserve">©Secured loans (other than debentures)</w:t>
            </w:r>
          </w:p>
        </w:tc>
        <w:tc>
          <w:tcPr>
            <w:shd w:fill="auto" w:val="clear"/>
            <w:tcMar>
              <w:top w:w="0.0" w:type="dxa"/>
              <w:left w:w="108.0" w:type="dxa"/>
              <w:bottom w:w="0.0" w:type="dxa"/>
              <w:right w:w="108.0" w:type="dxa"/>
            </w:tcMar>
            <w:vAlign w:val="top"/>
          </w:tcPr>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line="240" w:lineRule="auto"/>
              <w:ind w:left="288"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w:t>
              <w:tab/>
              <w:t xml:space="preserve">Unsecured loans</w:t>
            </w:r>
          </w:p>
        </w:tc>
        <w:tc>
          <w:tcPr>
            <w:shd w:fill="auto" w:val="clear"/>
            <w:tcMar>
              <w:top w:w="0.0" w:type="dxa"/>
              <w:left w:w="108.0" w:type="dxa"/>
              <w:bottom w:w="0.0" w:type="dxa"/>
              <w:right w:w="108.0" w:type="dxa"/>
            </w:tcMar>
            <w:vAlign w:val="top"/>
          </w:tcPr>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 of (1) and (2)</w:t>
            </w:r>
          </w:p>
        </w:tc>
        <w:tc>
          <w:tcPr>
            <w:shd w:fill="auto" w:val="clear"/>
            <w:tcMar>
              <w:top w:w="0.0" w:type="dxa"/>
              <w:left w:w="108.0" w:type="dxa"/>
              <w:bottom w:w="0.0" w:type="dxa"/>
              <w:right w:w="108.0" w:type="dxa"/>
            </w:tcMar>
            <w:vAlign w:val="top"/>
          </w:tcPr>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APPLICATION OF FUNDS</w:t>
            </w:r>
          </w:p>
        </w:tc>
        <w:tc>
          <w:tcPr>
            <w:shd w:fill="auto" w:val="clear"/>
            <w:tcMar>
              <w:top w:w="0.0" w:type="dxa"/>
              <w:left w:w="108.0" w:type="dxa"/>
              <w:bottom w:w="0.0" w:type="dxa"/>
              <w:right w:w="108.0" w:type="dxa"/>
            </w:tcMar>
            <w:vAlign w:val="top"/>
          </w:tcPr>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(4)</w:t>
              <w:tab/>
              <w:t xml:space="preserve">Fixed assets</w:t>
            </w:r>
          </w:p>
        </w:tc>
        <w:tc>
          <w:tcPr>
            <w:shd w:fill="auto" w:val="clear"/>
            <w:tcMar>
              <w:top w:w="0.0" w:type="dxa"/>
              <w:left w:w="108.0" w:type="dxa"/>
              <w:bottom w:w="0.0" w:type="dxa"/>
              <w:right w:w="108.0" w:type="dxa"/>
            </w:tcMar>
            <w:vAlign w:val="top"/>
          </w:tcPr>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line="240" w:lineRule="auto"/>
              <w:ind w:left="504"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tab/>
              <w:t xml:space="preserve">Net block ------(Original cost less depreciation)</w:t>
            </w:r>
          </w:p>
        </w:tc>
        <w:tc>
          <w:tcPr>
            <w:shd w:fill="auto" w:val="clear"/>
            <w:tcMar>
              <w:top w:w="0.0" w:type="dxa"/>
              <w:left w:w="108.0" w:type="dxa"/>
              <w:bottom w:w="0.0" w:type="dxa"/>
              <w:right w:w="108.0" w:type="dxa"/>
            </w:tcMar>
            <w:vAlign w:val="top"/>
          </w:tcPr>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line="240" w:lineRule="auto"/>
              <w:ind w:left="504"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tab/>
              <w:t xml:space="preserve">Capital work-in-progress</w:t>
            </w:r>
          </w:p>
        </w:tc>
        <w:tc>
          <w:tcPr>
            <w:shd w:fill="auto" w:val="clear"/>
            <w:tcMar>
              <w:top w:w="0.0" w:type="dxa"/>
              <w:left w:w="108.0" w:type="dxa"/>
              <w:bottom w:w="0.0" w:type="dxa"/>
              <w:right w:w="108.0" w:type="dxa"/>
            </w:tcMar>
            <w:vAlign w:val="top"/>
          </w:tcPr>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(5)</w:t>
              <w:tab/>
              <w:t xml:space="preserve">Investments </w:t>
            </w:r>
          </w:p>
        </w:tc>
        <w:tc>
          <w:tcPr>
            <w:shd w:fill="auto" w:val="clear"/>
            <w:tcMar>
              <w:top w:w="0.0" w:type="dxa"/>
              <w:left w:w="108.0" w:type="dxa"/>
              <w:bottom w:w="0.0" w:type="dxa"/>
              <w:right w:w="108.0" w:type="dxa"/>
            </w:tcMar>
            <w:vAlign w:val="top"/>
          </w:tcPr>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line="240" w:lineRule="auto"/>
              <w:ind w:left="504"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tab/>
              <w:t xml:space="preserve">Government securities  </w:t>
            </w:r>
          </w:p>
        </w:tc>
        <w:tc>
          <w:tcPr>
            <w:shd w:fill="auto" w:val="clear"/>
            <w:tcMar>
              <w:top w:w="0.0" w:type="dxa"/>
              <w:left w:w="108.0" w:type="dxa"/>
              <w:bottom w:w="0.0" w:type="dxa"/>
              <w:right w:w="108.0" w:type="dxa"/>
            </w:tcMar>
            <w:vAlign w:val="top"/>
          </w:tcPr>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line="240" w:lineRule="auto"/>
              <w:ind w:left="504"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tab/>
              <w:t xml:space="preserve">Investment in subsidiary companies</w:t>
            </w:r>
          </w:p>
        </w:tc>
        <w:tc>
          <w:tcPr>
            <w:shd w:fill="auto" w:val="clear"/>
            <w:tcMar>
              <w:top w:w="0.0" w:type="dxa"/>
              <w:left w:w="108.0" w:type="dxa"/>
              <w:bottom w:w="0.0" w:type="dxa"/>
              <w:right w:w="108.0" w:type="dxa"/>
            </w:tcMar>
            <w:vAlign w:val="top"/>
          </w:tcPr>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line="240" w:lineRule="auto"/>
              <w:ind w:left="648"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Quoted </w:t>
            </w:r>
          </w:p>
        </w:tc>
        <w:tc>
          <w:tcPr>
            <w:shd w:fill="auto" w:val="clear"/>
            <w:tcMar>
              <w:top w:w="0.0" w:type="dxa"/>
              <w:left w:w="108.0" w:type="dxa"/>
              <w:bottom w:w="0.0" w:type="dxa"/>
              <w:right w:w="108.0" w:type="dxa"/>
            </w:tcMar>
            <w:vAlign w:val="top"/>
          </w:tcPr>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line="240" w:lineRule="auto"/>
              <w:ind w:left="648"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Unquoted</w:t>
            </w:r>
          </w:p>
        </w:tc>
        <w:tc>
          <w:tcPr>
            <w:shd w:fill="auto" w:val="clear"/>
            <w:tcMar>
              <w:top w:w="0.0" w:type="dxa"/>
              <w:left w:w="108.0" w:type="dxa"/>
              <w:bottom w:w="0.0" w:type="dxa"/>
              <w:right w:w="108.0" w:type="dxa"/>
            </w:tcMar>
            <w:vAlign w:val="top"/>
          </w:tcPr>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line="240" w:lineRule="auto"/>
              <w:ind w:left="504"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w:t>
              <w:tab/>
              <w:t xml:space="preserve">©others</w:t>
            </w:r>
          </w:p>
        </w:tc>
        <w:tc>
          <w:tcPr>
            <w:shd w:fill="auto" w:val="clear"/>
            <w:tcMar>
              <w:top w:w="0.0" w:type="dxa"/>
              <w:left w:w="108.0" w:type="dxa"/>
              <w:bottom w:w="0.0" w:type="dxa"/>
              <w:right w:w="108.0" w:type="dxa"/>
            </w:tcMar>
            <w:vAlign w:val="top"/>
          </w:tcPr>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line="240" w:lineRule="auto"/>
              <w:ind w:left="648"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Quoted </w:t>
            </w:r>
          </w:p>
        </w:tc>
        <w:tc>
          <w:tcPr>
            <w:shd w:fill="auto" w:val="clear"/>
            <w:tcMar>
              <w:top w:w="0.0" w:type="dxa"/>
              <w:left w:w="108.0" w:type="dxa"/>
              <w:bottom w:w="0.0" w:type="dxa"/>
              <w:right w:w="108.0" w:type="dxa"/>
            </w:tcMar>
            <w:vAlign w:val="top"/>
          </w:tcPr>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line="240" w:lineRule="auto"/>
              <w:ind w:left="648"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Unquoted</w:t>
            </w:r>
          </w:p>
        </w:tc>
        <w:tc>
          <w:tcPr>
            <w:shd w:fill="auto" w:val="clear"/>
            <w:tcMar>
              <w:top w:w="0.0" w:type="dxa"/>
              <w:left w:w="108.0" w:type="dxa"/>
              <w:bottom w:w="0.0" w:type="dxa"/>
              <w:right w:w="108.0" w:type="dxa"/>
            </w:tcMar>
            <w:vAlign w:val="top"/>
          </w:tcPr>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(6)</w:t>
              <w:tab/>
              <w:t xml:space="preserve">(I)  Current assets, loans and advances</w:t>
            </w:r>
          </w:p>
        </w:tc>
        <w:tc>
          <w:tcPr>
            <w:shd w:fill="auto" w:val="clear"/>
            <w:tcMar>
              <w:top w:w="0.0" w:type="dxa"/>
              <w:left w:w="108.0" w:type="dxa"/>
              <w:bottom w:w="0.0" w:type="dxa"/>
              <w:right w:w="108.0" w:type="dxa"/>
            </w:tcMar>
            <w:vAlign w:val="top"/>
          </w:tcPr>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line="240" w:lineRule="auto"/>
              <w:ind w:left="504"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tab/>
              <w:t xml:space="preserve">Inventories</w:t>
            </w:r>
          </w:p>
        </w:tc>
        <w:tc>
          <w:tcPr>
            <w:shd w:fill="auto" w:val="clear"/>
            <w:tcMar>
              <w:top w:w="0.0" w:type="dxa"/>
              <w:left w:w="108.0" w:type="dxa"/>
              <w:bottom w:w="0.0" w:type="dxa"/>
              <w:right w:w="108.0" w:type="dxa"/>
            </w:tcMar>
            <w:vAlign w:val="top"/>
          </w:tcPr>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line="240" w:lineRule="auto"/>
              <w:ind w:left="504"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tab/>
              <w:t xml:space="preserve">Sundry debtors</w:t>
            </w:r>
          </w:p>
        </w:tc>
        <w:tc>
          <w:tcPr>
            <w:shd w:fill="auto" w:val="clear"/>
            <w:tcMar>
              <w:top w:w="0.0" w:type="dxa"/>
              <w:left w:w="108.0" w:type="dxa"/>
              <w:bottom w:w="0.0" w:type="dxa"/>
              <w:right w:w="108.0" w:type="dxa"/>
            </w:tcMar>
            <w:vAlign w:val="top"/>
          </w:tcPr>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0" w:line="240" w:lineRule="auto"/>
              <w:ind w:left="504"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w:t>
              <w:tab/>
              <w:t xml:space="preserve">©Cash and bank balances</w:t>
            </w:r>
          </w:p>
        </w:tc>
        <w:tc>
          <w:tcPr>
            <w:shd w:fill="auto" w:val="clear"/>
            <w:tcMar>
              <w:top w:w="0.0" w:type="dxa"/>
              <w:left w:w="108.0" w:type="dxa"/>
              <w:bottom w:w="0.0" w:type="dxa"/>
              <w:right w:w="108.0" w:type="dxa"/>
            </w:tcMar>
            <w:vAlign w:val="top"/>
          </w:tcPr>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0" w:line="240" w:lineRule="auto"/>
              <w:ind w:left="504"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w:t>
              <w:tab/>
              <w:t xml:space="preserve">other current assets</w:t>
            </w:r>
          </w:p>
        </w:tc>
        <w:tc>
          <w:tcPr>
            <w:shd w:fill="auto" w:val="clear"/>
            <w:tcMar>
              <w:top w:w="0.0" w:type="dxa"/>
              <w:left w:w="108.0" w:type="dxa"/>
              <w:bottom w:w="0.0" w:type="dxa"/>
              <w:right w:w="108.0" w:type="dxa"/>
            </w:tcMar>
            <w:vAlign w:val="top"/>
          </w:tcPr>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line="240" w:lineRule="auto"/>
              <w:ind w:left="504"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w:t>
              <w:tab/>
              <w:t xml:space="preserve">Loans and advances</w:t>
            </w:r>
          </w:p>
        </w:tc>
        <w:tc>
          <w:tcPr>
            <w:shd w:fill="auto" w:val="clear"/>
            <w:tcMar>
              <w:top w:w="0.0" w:type="dxa"/>
              <w:left w:w="108.0" w:type="dxa"/>
              <w:bottom w:w="0.0" w:type="dxa"/>
              <w:right w:w="108.0" w:type="dxa"/>
            </w:tcMar>
            <w:vAlign w:val="top"/>
          </w:tcPr>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line="240" w:lineRule="auto"/>
              <w:ind w:left="648"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To subsidiary companies </w:t>
            </w:r>
          </w:p>
        </w:tc>
        <w:tc>
          <w:tcPr>
            <w:shd w:fill="auto" w:val="clear"/>
            <w:tcMar>
              <w:top w:w="0.0" w:type="dxa"/>
              <w:left w:w="108.0" w:type="dxa"/>
              <w:bottom w:w="0.0" w:type="dxa"/>
              <w:right w:w="108.0" w:type="dxa"/>
            </w:tcMar>
            <w:vAlign w:val="top"/>
          </w:tcPr>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0" w:line="240" w:lineRule="auto"/>
              <w:ind w:left="648"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To others</w:t>
            </w:r>
          </w:p>
        </w:tc>
        <w:tc>
          <w:tcPr>
            <w:shd w:fill="auto" w:val="clear"/>
            <w:tcMar>
              <w:top w:w="0.0" w:type="dxa"/>
              <w:left w:w="108.0" w:type="dxa"/>
              <w:bottom w:w="0.0" w:type="dxa"/>
              <w:right w:w="108.0" w:type="dxa"/>
            </w:tcMar>
            <w:vAlign w:val="top"/>
          </w:tcPr>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Less:</w:t>
            </w:r>
          </w:p>
        </w:tc>
        <w:tc>
          <w:tcPr>
            <w:shd w:fill="auto" w:val="clear"/>
            <w:tcMar>
              <w:top w:w="0.0" w:type="dxa"/>
              <w:left w:w="108.0" w:type="dxa"/>
              <w:bottom w:w="0.0" w:type="dxa"/>
              <w:right w:w="108.0" w:type="dxa"/>
            </w:tcMar>
            <w:vAlign w:val="top"/>
          </w:tcPr>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  Current liabilities and provisions </w:t>
            </w:r>
          </w:p>
        </w:tc>
        <w:tc>
          <w:tcPr>
            <w:shd w:fill="auto" w:val="clear"/>
            <w:tcMar>
              <w:top w:w="0.0" w:type="dxa"/>
              <w:left w:w="108.0" w:type="dxa"/>
              <w:bottom w:w="0.0" w:type="dxa"/>
              <w:right w:w="108.0" w:type="dxa"/>
            </w:tcMar>
            <w:vAlign w:val="top"/>
          </w:tcPr>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line="240" w:lineRule="auto"/>
              <w:ind w:left="504"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tab/>
              <w:t xml:space="preserve">Liabilities</w:t>
            </w:r>
          </w:p>
        </w:tc>
        <w:tc>
          <w:tcPr>
            <w:shd w:fill="auto" w:val="clear"/>
            <w:tcMar>
              <w:top w:w="0.0" w:type="dxa"/>
              <w:left w:w="108.0" w:type="dxa"/>
              <w:bottom w:w="0.0" w:type="dxa"/>
              <w:right w:w="108.0" w:type="dxa"/>
            </w:tcMar>
            <w:vAlign w:val="top"/>
          </w:tcPr>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0" w:line="240" w:lineRule="auto"/>
              <w:ind w:left="504" w:hanging="144"/>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tab/>
              <w:t xml:space="preserve">Provisions</w:t>
            </w:r>
          </w:p>
        </w:tc>
        <w:tc>
          <w:tcPr>
            <w:shd w:fill="auto" w:val="clear"/>
            <w:tcMar>
              <w:top w:w="0.0" w:type="dxa"/>
              <w:left w:w="108.0" w:type="dxa"/>
              <w:bottom w:w="0.0" w:type="dxa"/>
              <w:right w:w="108.0" w:type="dxa"/>
            </w:tcMar>
            <w:vAlign w:val="top"/>
          </w:tcPr>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Net current assets (I—ii)</w:t>
            </w:r>
          </w:p>
        </w:tc>
        <w:tc>
          <w:tcPr>
            <w:shd w:fill="auto" w:val="clear"/>
            <w:tcMar>
              <w:top w:w="0.0" w:type="dxa"/>
              <w:left w:w="108.0" w:type="dxa"/>
              <w:bottom w:w="0.0" w:type="dxa"/>
              <w:right w:w="108.0" w:type="dxa"/>
            </w:tcMar>
            <w:vAlign w:val="top"/>
          </w:tcPr>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(4)</w:t>
              <w:tab/>
              <w:t xml:space="preserve">Miscellaneous expenditure to the extent not written off or adjusted</w:t>
            </w:r>
          </w:p>
        </w:tc>
        <w:tc>
          <w:tcPr>
            <w:shd w:fill="auto" w:val="clear"/>
            <w:tcMar>
              <w:top w:w="0.0" w:type="dxa"/>
              <w:left w:w="108.0" w:type="dxa"/>
              <w:bottom w:w="0.0" w:type="dxa"/>
              <w:right w:w="108.0" w:type="dxa"/>
            </w:tcMar>
            <w:vAlign w:val="top"/>
          </w:tcPr>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(5)</w:t>
              <w:tab/>
              <w:t xml:space="preserve">Profit and loss account </w:t>
            </w:r>
          </w:p>
        </w:tc>
        <w:tc>
          <w:tcPr>
            <w:shd w:fill="auto" w:val="clear"/>
            <w:tcMar>
              <w:top w:w="0.0" w:type="dxa"/>
              <w:left w:w="108.0" w:type="dxa"/>
              <w:bottom w:w="0.0" w:type="dxa"/>
              <w:right w:w="108.0" w:type="dxa"/>
            </w:tcMar>
            <w:vAlign w:val="top"/>
          </w:tcPr>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 of 1 to 5 </w:t>
            </w:r>
          </w:p>
        </w:tc>
        <w:tc>
          <w:tcPr>
            <w:shd w:fill="auto" w:val="clear"/>
            <w:tcMar>
              <w:top w:w="0.0" w:type="dxa"/>
              <w:left w:w="108.0" w:type="dxa"/>
              <w:bottom w:w="0.0" w:type="dxa"/>
              <w:right w:w="108.0" w:type="dxa"/>
            </w:tcMar>
            <w:vAlign w:val="top"/>
          </w:tcPr>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Abridged profit and loss account for the year ending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Particulars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Figures at the end of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Current financial year</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Previous financial year</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Income </w:t>
            </w:r>
          </w:p>
        </w:tc>
        <w:tc>
          <w:tcPr>
            <w:shd w:fill="auto" w:val="clear"/>
            <w:tcMar>
              <w:top w:w="0.0" w:type="dxa"/>
              <w:left w:w="108.0" w:type="dxa"/>
              <w:bottom w:w="0.0" w:type="dxa"/>
              <w:right w:w="108.0" w:type="dxa"/>
            </w:tcMar>
            <w:vAlign w:val="top"/>
          </w:tcPr>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E">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Sales/services rendered (Details to be given separately as per Annexure)</w:t>
            </w:r>
          </w:p>
        </w:tc>
        <w:tc>
          <w:tcPr>
            <w:shd w:fill="auto" w:val="clear"/>
            <w:tcMar>
              <w:top w:w="0.0" w:type="dxa"/>
              <w:left w:w="108.0" w:type="dxa"/>
              <w:bottom w:w="0.0" w:type="dxa"/>
              <w:right w:w="108.0" w:type="dxa"/>
            </w:tcMar>
            <w:vAlign w:val="top"/>
          </w:tcPr>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74">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Dividend</w:t>
            </w:r>
          </w:p>
        </w:tc>
        <w:tc>
          <w:tcPr>
            <w:shd w:fill="auto" w:val="clear"/>
            <w:tcMar>
              <w:top w:w="0.0" w:type="dxa"/>
              <w:left w:w="108.0" w:type="dxa"/>
              <w:bottom w:w="0.0" w:type="dxa"/>
              <w:right w:w="108.0" w:type="dxa"/>
            </w:tcMar>
            <w:vAlign w:val="top"/>
          </w:tcPr>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7A">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Interest </w:t>
            </w:r>
          </w:p>
        </w:tc>
        <w:tc>
          <w:tcPr>
            <w:shd w:fill="auto" w:val="clear"/>
            <w:tcMar>
              <w:top w:w="0.0" w:type="dxa"/>
              <w:left w:w="108.0" w:type="dxa"/>
              <w:bottom w:w="0.0" w:type="dxa"/>
              <w:right w:w="108.0" w:type="dxa"/>
            </w:tcMar>
            <w:vAlign w:val="top"/>
          </w:tcPr>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0">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Other income (See Note 5)</w:t>
            </w:r>
          </w:p>
        </w:tc>
        <w:tc>
          <w:tcPr>
            <w:shd w:fill="auto" w:val="clear"/>
            <w:tcMar>
              <w:top w:w="0.0" w:type="dxa"/>
              <w:left w:w="108.0" w:type="dxa"/>
              <w:bottom w:w="0.0" w:type="dxa"/>
              <w:right w:w="108.0" w:type="dxa"/>
            </w:tcMar>
            <w:vAlign w:val="top"/>
          </w:tcPr>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Expenditure</w:t>
            </w:r>
          </w:p>
        </w:tc>
        <w:tc>
          <w:tcPr>
            <w:shd w:fill="auto" w:val="clear"/>
            <w:tcMar>
              <w:top w:w="0.0" w:type="dxa"/>
              <w:left w:w="108.0" w:type="dxa"/>
              <w:bottom w:w="0.0" w:type="dxa"/>
              <w:right w:w="108.0" w:type="dxa"/>
            </w:tcMar>
            <w:vAlign w:val="top"/>
          </w:tcPr>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Cost of goods consumed/sold </w:t>
            </w:r>
          </w:p>
        </w:tc>
        <w:tc>
          <w:tcPr>
            <w:shd w:fill="auto" w:val="clear"/>
            <w:tcMar>
              <w:top w:w="0.0" w:type="dxa"/>
              <w:left w:w="108.0" w:type="dxa"/>
              <w:bottom w:w="0.0" w:type="dxa"/>
              <w:right w:w="108.0" w:type="dxa"/>
            </w:tcMar>
            <w:vAlign w:val="top"/>
          </w:tcPr>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   opening stock</w:t>
            </w:r>
          </w:p>
        </w:tc>
        <w:tc>
          <w:tcPr>
            <w:shd w:fill="auto" w:val="clear"/>
            <w:tcMar>
              <w:top w:w="0.0" w:type="dxa"/>
              <w:left w:w="108.0" w:type="dxa"/>
              <w:bottom w:w="0.0" w:type="dxa"/>
              <w:right w:w="108.0" w:type="dxa"/>
            </w:tcMar>
            <w:vAlign w:val="top"/>
          </w:tcPr>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   Purchases</w:t>
            </w:r>
          </w:p>
        </w:tc>
        <w:tc>
          <w:tcPr>
            <w:shd w:fill="auto" w:val="clear"/>
            <w:tcMar>
              <w:top w:w="0.0" w:type="dxa"/>
              <w:left w:w="108.0" w:type="dxa"/>
              <w:bottom w:w="0.0" w:type="dxa"/>
              <w:right w:w="108.0" w:type="dxa"/>
            </w:tcMar>
            <w:vAlign w:val="top"/>
          </w:tcPr>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Less: Closing stock</w:t>
            </w:r>
          </w:p>
        </w:tc>
        <w:tc>
          <w:tcPr>
            <w:shd w:fill="auto" w:val="clear"/>
            <w:tcMar>
              <w:top w:w="0.0" w:type="dxa"/>
              <w:left w:w="108.0" w:type="dxa"/>
              <w:bottom w:w="0.0" w:type="dxa"/>
              <w:right w:w="108.0" w:type="dxa"/>
            </w:tcMar>
            <w:vAlign w:val="top"/>
          </w:tcPr>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Manufacturing expenses</w:t>
            </w:r>
          </w:p>
        </w:tc>
        <w:tc>
          <w:tcPr>
            <w:shd w:fill="auto" w:val="clear"/>
            <w:tcMar>
              <w:top w:w="0.0" w:type="dxa"/>
              <w:left w:w="108.0" w:type="dxa"/>
              <w:bottom w:w="0.0" w:type="dxa"/>
              <w:right w:w="108.0" w:type="dxa"/>
            </w:tcMar>
            <w:vAlign w:val="top"/>
          </w:tcPr>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Selling expenses</w:t>
            </w:r>
          </w:p>
        </w:tc>
        <w:tc>
          <w:tcPr>
            <w:shd w:fill="auto" w:val="clear"/>
            <w:tcMar>
              <w:top w:w="0.0" w:type="dxa"/>
              <w:left w:w="108.0" w:type="dxa"/>
              <w:bottom w:w="0.0" w:type="dxa"/>
              <w:right w:w="108.0" w:type="dxa"/>
            </w:tcMar>
            <w:vAlign w:val="top"/>
          </w:tcPr>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Salaries, wages and other employee</w:t>
            </w:r>
          </w:p>
        </w:tc>
        <w:tc>
          <w:tcPr>
            <w:shd w:fill="auto" w:val="clear"/>
            <w:tcMar>
              <w:top w:w="0.0" w:type="dxa"/>
              <w:left w:w="108.0" w:type="dxa"/>
              <w:bottom w:w="0.0" w:type="dxa"/>
              <w:right w:w="108.0" w:type="dxa"/>
            </w:tcMar>
            <w:vAlign w:val="top"/>
          </w:tcPr>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benefits managerial remuneration </w:t>
            </w:r>
          </w:p>
        </w:tc>
        <w:tc>
          <w:tcPr>
            <w:shd w:fill="auto" w:val="clear"/>
            <w:tcMar>
              <w:top w:w="0.0" w:type="dxa"/>
              <w:left w:w="108.0" w:type="dxa"/>
              <w:bottom w:w="0.0" w:type="dxa"/>
              <w:right w:w="108.0" w:type="dxa"/>
            </w:tcMar>
            <w:vAlign w:val="top"/>
          </w:tcPr>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Interest </w:t>
            </w:r>
          </w:p>
        </w:tc>
        <w:tc>
          <w:tcPr>
            <w:shd w:fill="auto" w:val="clear"/>
            <w:tcMar>
              <w:top w:w="0.0" w:type="dxa"/>
              <w:left w:w="108.0" w:type="dxa"/>
              <w:bottom w:w="0.0" w:type="dxa"/>
              <w:right w:w="108.0" w:type="dxa"/>
            </w:tcMar>
            <w:vAlign w:val="top"/>
          </w:tcPr>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Depreciation </w:t>
            </w:r>
          </w:p>
        </w:tc>
        <w:tc>
          <w:tcPr>
            <w:shd w:fill="auto" w:val="clear"/>
            <w:tcMar>
              <w:top w:w="0.0" w:type="dxa"/>
              <w:left w:w="108.0" w:type="dxa"/>
              <w:bottom w:w="0.0" w:type="dxa"/>
              <w:right w:w="108.0" w:type="dxa"/>
            </w:tcMar>
            <w:vAlign w:val="top"/>
          </w:tcPr>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Auditor’s remuneration</w:t>
            </w:r>
          </w:p>
        </w:tc>
        <w:tc>
          <w:tcPr>
            <w:shd w:fill="auto" w:val="clear"/>
            <w:tcMar>
              <w:top w:w="0.0" w:type="dxa"/>
              <w:left w:w="108.0" w:type="dxa"/>
              <w:bottom w:w="0.0" w:type="dxa"/>
              <w:right w:w="108.0" w:type="dxa"/>
            </w:tcMar>
            <w:vAlign w:val="top"/>
          </w:tcPr>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Provisions for  (I)   Doubtful debts; and </w:t>
            </w:r>
          </w:p>
        </w:tc>
        <w:tc>
          <w:tcPr>
            <w:shd w:fill="auto" w:val="clear"/>
            <w:tcMar>
              <w:top w:w="0.0" w:type="dxa"/>
              <w:left w:w="108.0" w:type="dxa"/>
              <w:bottom w:w="0.0" w:type="dxa"/>
              <w:right w:w="108.0" w:type="dxa"/>
            </w:tcMar>
            <w:vAlign w:val="top"/>
          </w:tcPr>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(ii)   Other contingencies (to be specified)</w:t>
            </w:r>
          </w:p>
        </w:tc>
        <w:tc>
          <w:tcPr>
            <w:shd w:fill="auto" w:val="clear"/>
            <w:tcMar>
              <w:top w:w="0.0" w:type="dxa"/>
              <w:left w:w="108.0" w:type="dxa"/>
              <w:bottom w:w="0.0" w:type="dxa"/>
              <w:right w:w="108.0" w:type="dxa"/>
            </w:tcMar>
            <w:vAlign w:val="top"/>
          </w:tcPr>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Any other expenses (See Note 5)</w:t>
            </w:r>
          </w:p>
        </w:tc>
        <w:tc>
          <w:tcPr>
            <w:shd w:fill="auto" w:val="clear"/>
            <w:tcMar>
              <w:top w:w="0.0" w:type="dxa"/>
              <w:left w:w="108.0" w:type="dxa"/>
              <w:bottom w:w="0.0" w:type="dxa"/>
              <w:right w:w="108.0" w:type="dxa"/>
            </w:tcMar>
            <w:vAlign w:val="top"/>
          </w:tcPr>
          <w:p w:rsidR="00000000" w:rsidDel="00000000" w:rsidP="00000000" w:rsidRDefault="00000000" w:rsidRPr="00000000" w14:paraId="000001E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Profit/loss before tax (I-II)</w:t>
            </w:r>
          </w:p>
        </w:tc>
        <w:tc>
          <w:tcPr>
            <w:shd w:fill="auto" w:val="clear"/>
            <w:tcMar>
              <w:top w:w="0.0" w:type="dxa"/>
              <w:left w:w="108.0" w:type="dxa"/>
              <w:bottom w:w="0.0" w:type="dxa"/>
              <w:right w:w="108.0" w:type="dxa"/>
            </w:tcMar>
            <w:vAlign w:val="top"/>
          </w:tcPr>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IV</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F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Provision for taxation</w:t>
            </w:r>
          </w:p>
        </w:tc>
        <w:tc>
          <w:tcPr>
            <w:shd w:fill="auto" w:val="clear"/>
            <w:tcMar>
              <w:top w:w="0.0" w:type="dxa"/>
              <w:left w:w="108.0" w:type="dxa"/>
              <w:bottom w:w="0.0" w:type="dxa"/>
              <w:right w:w="108.0" w:type="dxa"/>
            </w:tcMar>
            <w:vAlign w:val="top"/>
          </w:tcPr>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V</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Profit/loss after tax</w:t>
            </w:r>
          </w:p>
        </w:tc>
        <w:tc>
          <w:tcPr>
            <w:shd w:fill="auto" w:val="clear"/>
            <w:tcMar>
              <w:top w:w="0.0" w:type="dxa"/>
              <w:left w:w="108.0" w:type="dxa"/>
              <w:bottom w:w="0.0" w:type="dxa"/>
              <w:right w:w="108.0" w:type="dxa"/>
            </w:tcMar>
            <w:vAlign w:val="top"/>
          </w:tcPr>
          <w:p w:rsidR="00000000" w:rsidDel="00000000" w:rsidP="00000000" w:rsidRDefault="00000000" w:rsidRPr="00000000" w14:paraId="000002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VI</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Proposed dividend:</w:t>
            </w:r>
          </w:p>
        </w:tc>
        <w:tc>
          <w:tcPr>
            <w:shd w:fill="auto" w:val="clear"/>
            <w:tcMar>
              <w:top w:w="0.0" w:type="dxa"/>
              <w:left w:w="108.0" w:type="dxa"/>
              <w:bottom w:w="0.0" w:type="dxa"/>
              <w:right w:w="108.0" w:type="dxa"/>
            </w:tcMar>
            <w:vAlign w:val="top"/>
          </w:tcPr>
          <w:p w:rsidR="00000000" w:rsidDel="00000000" w:rsidP="00000000" w:rsidRDefault="00000000" w:rsidRPr="00000000" w14:paraId="0000020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0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---preference shares</w:t>
            </w:r>
          </w:p>
        </w:tc>
        <w:tc>
          <w:tcPr>
            <w:shd w:fill="auto" w:val="clear"/>
            <w:tcMar>
              <w:top w:w="0.0" w:type="dxa"/>
              <w:left w:w="108.0" w:type="dxa"/>
              <w:bottom w:w="0.0" w:type="dxa"/>
              <w:right w:w="108.0" w:type="dxa"/>
            </w:tcMar>
            <w:vAlign w:val="top"/>
          </w:tcPr>
          <w:p w:rsidR="00000000" w:rsidDel="00000000" w:rsidP="00000000" w:rsidRDefault="00000000" w:rsidRPr="00000000" w14:paraId="0000021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1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---Equity shares</w:t>
            </w:r>
          </w:p>
        </w:tc>
        <w:tc>
          <w:tcPr>
            <w:shd w:fill="auto" w:val="clear"/>
            <w:tcMar>
              <w:top w:w="0.0" w:type="dxa"/>
              <w:left w:w="108.0" w:type="dxa"/>
              <w:bottom w:w="0.0" w:type="dxa"/>
              <w:right w:w="108.0" w:type="dxa"/>
            </w:tcMar>
            <w:vAlign w:val="top"/>
          </w:tcPr>
          <w:p w:rsidR="00000000" w:rsidDel="00000000" w:rsidP="00000000" w:rsidRDefault="00000000" w:rsidRPr="00000000" w14:paraId="0000021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1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VII</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Transfer to reserves/surplus</w:t>
            </w:r>
          </w:p>
        </w:tc>
        <w:tc>
          <w:tcPr>
            <w:shd w:fill="auto" w:val="clear"/>
            <w:tcMar>
              <w:top w:w="0.0" w:type="dxa"/>
              <w:left w:w="108.0" w:type="dxa"/>
              <w:bottom w:w="0.0" w:type="dxa"/>
              <w:right w:w="108.0" w:type="dxa"/>
            </w:tcMar>
            <w:vAlign w:val="top"/>
          </w:tcPr>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Notes to the abridged balance sheet and the abridged profit and loss account.</w:t>
      </w:r>
    </w:p>
    <w:p w:rsidR="00000000" w:rsidDel="00000000" w:rsidP="00000000" w:rsidRDefault="00000000" w:rsidRPr="00000000" w14:paraId="00000228">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The amounts to be shown here should be the same as shown in the corresponding aggregated heads in the accounts as per Schedule VI or as near thereto as possible.</w:t>
      </w:r>
    </w:p>
    <w:p w:rsidR="00000000" w:rsidDel="00000000" w:rsidP="00000000" w:rsidRDefault="00000000" w:rsidRPr="00000000" w14:paraId="00000229">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The total amount of contingent liabilities and that of capital commitments should be shown separately.</w:t>
      </w:r>
    </w:p>
    <w:p w:rsidR="00000000" w:rsidDel="00000000" w:rsidP="00000000" w:rsidRDefault="00000000" w:rsidRPr="00000000" w14:paraId="0000022A">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All notes forming part of the  accounts as per Schedule VI to which specific attention has been drawn by the auditors or which form a subject-matter of qualification by the auditor should be reproduced.</w:t>
      </w:r>
    </w:p>
    <w:p w:rsidR="00000000" w:rsidDel="00000000" w:rsidP="00000000" w:rsidRDefault="00000000" w:rsidRPr="00000000" w14:paraId="0000022B">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If fixed assets are revalued, the amount of revaluation should be shown separately for the first five years subsequent to the date of revaluation.</w:t>
      </w:r>
    </w:p>
    <w:p w:rsidR="00000000" w:rsidDel="00000000" w:rsidP="00000000" w:rsidRDefault="00000000" w:rsidRPr="00000000" w14:paraId="0000022C">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Any item which constitutes 20% or more of the total income of or expenditure (including provision) should be shown separately. </w:t>
      </w:r>
    </w:p>
    <w:p w:rsidR="00000000" w:rsidDel="00000000" w:rsidP="00000000" w:rsidRDefault="00000000" w:rsidRPr="00000000" w14:paraId="0000022D">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Amount , if material, by which any items shown in the profit and loss account are affected by any change in the basis of accounting, should be disclosed  separately.</w:t>
      </w:r>
    </w:p>
    <w:p w:rsidR="00000000" w:rsidDel="00000000" w:rsidP="00000000" w:rsidRDefault="00000000" w:rsidRPr="00000000" w14:paraId="0000022E">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If no provision is made for depreciation, the fact that no provision has been made shall be stated along with the quantum of arrears of depreciation computed in accordance with section 205(2) of the Act.</w:t>
      </w:r>
    </w:p>
    <w:p w:rsidR="00000000" w:rsidDel="00000000" w:rsidP="00000000" w:rsidRDefault="00000000" w:rsidRPr="00000000" w14:paraId="0000022F">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Market value of quoted investments (both for current year as also of previous year) should be mentioned.</w:t>
      </w:r>
    </w:p>
    <w:p w:rsidR="00000000" w:rsidDel="00000000" w:rsidP="00000000" w:rsidRDefault="00000000" w:rsidRPr="00000000" w14:paraId="00000230">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Any noted forming part of the accounts as per Schedule VI which is in the nature of any explanation regarding  compliance with any law should be reproduced.</w:t>
      </w:r>
    </w:p>
    <w:p w:rsidR="00000000" w:rsidDel="00000000" w:rsidP="00000000" w:rsidRDefault="00000000" w:rsidRPr="00000000" w14:paraId="00000231">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Important ratio performance such as sales/total assets ratio, operating profit/capital employed ratio, return on net worth profit/sales ratio.</w:t>
      </w:r>
    </w:p>
    <w:p w:rsidR="00000000" w:rsidDel="00000000" w:rsidP="00000000" w:rsidRDefault="00000000" w:rsidRPr="00000000" w14:paraId="00000232">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Details of installed capacity and productivity of main items manufactured should be disclosed.</w:t>
      </w:r>
    </w:p>
    <w:p w:rsidR="00000000" w:rsidDel="00000000" w:rsidP="00000000" w:rsidRDefault="00000000" w:rsidRPr="00000000" w14:paraId="00000233">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Notes in the abridged balance sheet should be given the same number as in the main balance sheet.</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The above stated salient features of balance sheet and profit and loss account should be authenticated in the same manner as the main accounts are to be authenticated.</w:t>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Auditor’s report and the comments, if any, of the Comptroller and Auditor-General of India under sub-section (4) of section 619, in the respect of Government companies and companies under section 619B.</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DIRECTORS REPORT</w:t>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Should be given in full except the information under clause (e) of sub-section (1) and sub-section (2A) of section 217.</w:t>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Subsidiary company/companies--------</w:t>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Every holding company shall give a statement relating to its subsidiary company/companies to be furnished in pursuance of clauses (e), (f) and (g) of sub-section (1) of section 212.</w:t>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(Signed by Directors/Secretary in the </w:t>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manner prescribed in section 215(1).</w:t>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