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36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MAIN OBJECT CLAUSE OF FURNISHING</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360" w:lineRule="auto"/>
        <w:ind w:left="720" w:firstLine="0"/>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36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To carry on the business of manufacturers, dealers, exporters, importers, hirers, repairers, storers and warehousers of wooden furnitures, tabular furnitures, doors and windows, frames, household utensils and glass goods, fittings, hardware fittings, carpets, linoleums and other floor coverings, curtains and other home furnishings and household requisites of all kinds and all things capable of being used therewith or in the maintenance, repair or manufacture thereof, and to enter into hire purchase agreements with the purchasers of such items and articles and to negotiate, assign, mortgage or pledge such agreements for cash, or otherwise or the payments due or rights accruing thereunder.</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