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the withdrawal of the Complaint under Section 257, Cr.P.C.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THE HON'BLE COURT OF…………………..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Application No. ………………… of ………….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320 (2), Cr.P.C.)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On behalf of  the Complaint…………………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Case No. ……………………. of 20………..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………….. I. P. C./Cr.P.C.)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District………………..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Sri………………….. S/o……………….. R/o …………………… P.S. ………………. District …………….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…………..... </w:t>
        <w:tab/>
        <w:tab/>
        <w:tab/>
        <w:tab/>
        <w:tab/>
        <w:tab/>
        <w:tab/>
        <w:t xml:space="preserve">…C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omplaint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Sri……………………….. S/o …..…………….. R/o…………………… P.S. ………………. District …………….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………....... </w:t>
        <w:tab/>
        <w:tab/>
        <w:tab/>
        <w:tab/>
        <w:tab/>
        <w:tab/>
        <w:tab/>
        <w:t xml:space="preserve">…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Accused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Hon'ble Judge of the aforesaid Court.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complainant most humbly showeth as under: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complainant and the accused, being related to each other, have reached an amicable settlement of the case on the intervention of good friends and well wishers.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in the aforesaid circumstances the complainant does not intend to prosecute the accused.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the aforesaid case still awaits the final orders.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PRAYER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It is, therefore, most respectfully prayed that the Hon'ble Court may be pleased to permit the complainant to withdraw his complaint and may also be pleased to acquit the accused.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Date:………….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Complainant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