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APPLICATION U/S 116(3) Cr. P. 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BEFORE THE COURT OF............................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matter of: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AB............................................................. Complainant</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CD................................................................ Opp. party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 107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PS............................</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Most respectfully showeth: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petitioner has presented an application u/s 107’Cr. P. C. against opposite party and-proceeding is pending before the Hon’ble court.</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since the presentation of the proceeding the opposite party either individually or collectively have been threatening the applicant for dire consequences terrorising the petitioner and his family in more than one ways.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when the complainant party is protected the opposite party may at any moment commit violent act causing danger to public peace and tranquility even during the pendency of the proceeding before this Hon’ble Court.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It is therefore prayed that interim measure be taken against opposite party u/s 116(3) Cr. P. C. and enforce requirement to execute bonds for keeping peace until the conclusion of present proceeding/inquiry or detain opposite party till such bond is executed.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Date: </w:t>
        <w:tab/>
        <w:tab/>
        <w:tab/>
        <w:tab/>
        <w:tab/>
        <w:tab/>
        <w:tab/>
        <w:tab/>
        <w:tab/>
        <w:tab/>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Counsel</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