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U/S 94 Cr.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(Search of a particular place where stolen property are supposed to have been kept).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 Sh............................. MM.............................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No............................ of 2002 PS............................ u/s 379 IPC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Complainant...................................................................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Accused..........................................................................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S/o............................. S/o.............................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R/o............................. R/o.............................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Hearing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complainant initiated case against the accused person (s) for theft of articles from the house and this Hon’ble Court was pleased to issue a warrant against the accused person(s).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accused person(s) was/were a domestic servant or was/were working in the workshop of petitioner and taking advantage of the absence of complainant and his family decamped with ornament box, case worth Rs.............................. Theaccused person(s) has/have not produced the articles so far nor the articles could be found from the place of arrest.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complainant comes to know on enquiry that the accused and his accomplice conspired and to meet in the house/place of Shri............................ R/o............................ who is a ill-fame and Dada of the area and it is believed that if a search is conducted it will lead to recovery of the articles so stolen.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most humbly prayed that a search order of warrant be issued directing police to search the aforesaid house of............................ for the recovery of the stolen articles/property that may be found.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which act of kindness the humble petitioner shall ever remain pray/ thankful to the Hon’ble Court.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Counsel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576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Place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