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Application under Section 145, Cr.  P.C.</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THE HON'BLE COURT OF…………………..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Case No. ………………… of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145, Cr.P.C.)</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Sri. ….……………….. S/o ……………….. R/o ………………….. P.S. ………………. District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w:t>
        <w:tab/>
        <w:tab/>
        <w:tab/>
        <w:tab/>
        <w:tab/>
        <w:tab/>
        <w:tab/>
        <w:t xml:space="preserve">…</w:t>
      </w:r>
      <w:r w:rsidDel="00000000" w:rsidR="00000000" w:rsidRPr="00000000">
        <w:rPr>
          <w:rFonts w:ascii="Arial" w:cs="Arial" w:eastAsia="Arial" w:hAnsi="Arial"/>
          <w:i w:val="1"/>
          <w:smallCaps w:val="0"/>
          <w:sz w:val="24"/>
          <w:szCs w:val="24"/>
          <w:rtl w:val="0"/>
        </w:rPr>
        <w:t xml:space="preserve">Applicant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Sri ……………… S/o ………………….. D/o ……………………… P.S.………………. District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  </w:t>
        <w:tab/>
        <w:tab/>
        <w:tab/>
        <w:tab/>
        <w:tab/>
        <w:tab/>
        <w:t xml:space="preserve">…</w:t>
      </w:r>
      <w:r w:rsidDel="00000000" w:rsidR="00000000" w:rsidRPr="00000000">
        <w:rPr>
          <w:rFonts w:ascii="Arial" w:cs="Arial" w:eastAsia="Arial" w:hAnsi="Arial"/>
          <w:i w:val="1"/>
          <w:smallCaps w:val="0"/>
          <w:sz w:val="24"/>
          <w:szCs w:val="24"/>
          <w:rtl w:val="0"/>
        </w:rPr>
        <w:t xml:space="preserve">Opposite party</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To</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Judge of the aforesaid Court.</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petitioner most humbly showeth as under:</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applicant is in possession of House No. …………….. situated at …............................ for last………… years.</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opposite party, on the basis of an alleged sale-deed, dated .................. is trying to dispossess the applicant from the disputed house.</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on account of illegal interference by the opposite party into the peaceful possession of the applicant over the house in dispute, a dispute likely to cause breach of peace has arisen.</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despite the F.I.R. lodged by the applicant regarding the illegal interference by the opposite party the opposite party could not be deterred due to the inaction of the police.</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thus the applicant is compelled to resort to the legal proceedings before this Hon'ble Court.</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all the deeds and papers showing the exclusive possession of the applicant over the disputed house are annexed herewith.</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PRAYER</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therefore, most respectfully prayed that the Hon'ble Court may be pleased to draw up proceedings under Section 145, Cr.  P.C. and may also be pleased to pass such other and further orders as it deems fit in the circumstances of the case.</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w:t>
        <w:tab/>
        <w:tab/>
        <w:tab/>
        <w:tab/>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ind w:left="2880" w:firstLine="720"/>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Advocate for the Applicant</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ind w:left="2880" w:firstLine="720"/>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