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U/S 145 CR.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THE COURT OF SHRI. SDM/MAGISTRATE.....................................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No............................. 2002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1st party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IInd party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u/s 145 Cr. P. C.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First party owns and possesses a piece of land, an orchard, situated in the vi!lage.................. PS.................. of this district. The plot No. 7 orchard is ............................. It is recorded as a plot of first party in the revenue record/ municipal record.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second party has no concern or interest or any right in the said plot of archard. But the member of 2nd party is out-right trying or bent upon to create trouble to the first party in the latter’s peaceful possession and enjoyment of products of the said ordered by illegal intrusion on the part of the orchard.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attitude and illegal and unwarranted acts of second party are likely to cause a breach of peace in respect of first party’s legal possession and occupation of the said orchard which second party had never been in possession.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humbly prayed that proceeding u/s 145 Cr. P. C. be initiated against the second party and second party be forbidden from creating any disturbance in the defacto possession of the said orchard by first party.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Party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