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U/S 98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(Restoration of lawful custody of female child).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Addl. Senior Judge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District Magistrate/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 SH............................. (WHERE IN APPLICABLE)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re/In the matter 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XYZ...............................................................................</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FIR No.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Date of Hearing.....................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Most respectfully showeth: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Kumari............................ is a female child age............................ is daughter of............................ /residence of............................ and has been living with the complainant who is a lawful guardian (father/uncle/or so —) or uncle since her parents are no more living.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opposite party (us) who is/are of questionable antecedent character has abducted her on............................ from the lawful custody and she is under an unlawful detention or she is unlawfully detained by.................................. after abduction (at place or PS where she is detained could be added).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complainant; therefore prays that an order be passed u/s 98 Cr. P. C. for the immediate restoration of aforesaid female child to her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de jure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de facto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guardian complainant/parents who is lawful custodian of the female child.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Complaint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Place: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 Counsel</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